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2128" w14:textId="77777777" w:rsidR="001526DC" w:rsidRDefault="001526DC" w:rsidP="001526D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99"/>
        </w:rPr>
        <w:t>国家药监</w:t>
      </w:r>
      <w:proofErr w:type="gramStart"/>
      <w:r>
        <w:rPr>
          <w:rFonts w:hint="eastAsia"/>
          <w:b/>
          <w:bCs/>
          <w:color w:val="333399"/>
        </w:rPr>
        <w:t>局启动</w:t>
      </w:r>
      <w:proofErr w:type="gramEnd"/>
      <w:r>
        <w:rPr>
          <w:rFonts w:hint="eastAsia"/>
          <w:b/>
          <w:bCs/>
          <w:color w:val="333399"/>
        </w:rPr>
        <w:t>中国药品监管</w:t>
      </w:r>
      <w:proofErr w:type="gramStart"/>
      <w:r>
        <w:rPr>
          <w:rFonts w:hint="eastAsia"/>
          <w:b/>
          <w:bCs/>
          <w:color w:val="333399"/>
        </w:rPr>
        <w:t>科学行动</w:t>
      </w:r>
      <w:proofErr w:type="gramEnd"/>
      <w:r>
        <w:rPr>
          <w:rFonts w:hint="eastAsia"/>
          <w:b/>
          <w:bCs/>
          <w:color w:val="333399"/>
        </w:rPr>
        <w:t>计划</w:t>
      </w:r>
      <w:r>
        <w:rPr>
          <w:rFonts w:hint="eastAsia"/>
          <w:b/>
          <w:bCs/>
          <w:color w:val="333399"/>
        </w:rPr>
        <w:br/>
        <w:t>细胞和基因治疗产品、药械组合产品、人工智能医疗器械、中药安全评价研究等首批立项</w:t>
      </w:r>
    </w:p>
    <w:p w14:paraId="6800FBBB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为全面贯彻落</w:t>
      </w:r>
      <w:proofErr w:type="gramStart"/>
      <w:r>
        <w:rPr>
          <w:rFonts w:hint="eastAsia"/>
          <w:color w:val="333333"/>
        </w:rPr>
        <w:t>实习近</w:t>
      </w:r>
      <w:proofErr w:type="gramEnd"/>
      <w:r>
        <w:rPr>
          <w:rFonts w:hint="eastAsia"/>
          <w:color w:val="333333"/>
        </w:rPr>
        <w:t>平总书记有关药品安全“四个最严”要求，围绕“创新、质量、效率、体系、能力”主题，推动监管理念制度机制创新，加快推进我国从制药大国向制药强国迈进，国家药品监督管理局今日发布通知，决定开展药品、医疗器械、化妆品监管科学研究，启动实施中国药品监管</w:t>
      </w:r>
      <w:proofErr w:type="gramStart"/>
      <w:r>
        <w:rPr>
          <w:rFonts w:hint="eastAsia"/>
          <w:color w:val="333333"/>
        </w:rPr>
        <w:t>科学行动</w:t>
      </w:r>
      <w:proofErr w:type="gramEnd"/>
      <w:r>
        <w:rPr>
          <w:rFonts w:hint="eastAsia"/>
          <w:color w:val="333333"/>
        </w:rPr>
        <w:t>计划，并确定首批九个重点研究项目。</w:t>
      </w:r>
    </w:p>
    <w:p w14:paraId="08C62D0C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通知指出，立足我国药品监管工作实际，围绕药品</w:t>
      </w:r>
      <w:proofErr w:type="gramStart"/>
      <w:r>
        <w:rPr>
          <w:rFonts w:hint="eastAsia"/>
          <w:color w:val="333333"/>
        </w:rPr>
        <w:t>审评审批</w:t>
      </w:r>
      <w:proofErr w:type="gramEnd"/>
      <w:r>
        <w:rPr>
          <w:rFonts w:hint="eastAsia"/>
          <w:color w:val="333333"/>
        </w:rPr>
        <w:t>制度改革创新，密切跟踪国际监管发展前沿，拟通过监管工具、标准、方法等系列创新，经过3-5年的努力，制定一批监管政策、审评技术规范指南、检查检验评价技术、技术标准等，有效解决影响和制约药品创新、质量、效率的突出性问题，加快实现药品治理体系和治理能力现代化。</w:t>
      </w:r>
    </w:p>
    <w:p w14:paraId="35BADF5B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监管</w:t>
      </w:r>
      <w:proofErr w:type="gramStart"/>
      <w:r>
        <w:rPr>
          <w:rFonts w:hint="eastAsia"/>
          <w:color w:val="333333"/>
        </w:rPr>
        <w:t>科学行动</w:t>
      </w:r>
      <w:proofErr w:type="gramEnd"/>
      <w:r>
        <w:rPr>
          <w:rFonts w:hint="eastAsia"/>
          <w:color w:val="333333"/>
        </w:rPr>
        <w:t>计划明确了3项重点任务：建设3-5家药品监管科学研究基地；启动一批监管科学重点项目；推出一批药品审评与监管新制度、新工具、新标准、新方法。</w:t>
      </w:r>
    </w:p>
    <w:p w14:paraId="5D177029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监管科学重点项目将分批分期推出，实现关键领域突破。项目将聚焦细胞和基因治疗、再生医学、药械组合等前沿性、交叉性产品，由相关业务司局牵头，会同有关直属单位和部分省局，联合高校、科研机构、行业协会等开展创新性研究。</w:t>
      </w:r>
    </w:p>
    <w:p w14:paraId="6736C762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首批启动的行动计划项目共有九项，分别是细胞和基因治疗产品技术评价与监管体系研究、纳米类药物安全性评价及质量控制研究、以中医临床为导向的中药安全评价研究、上市后药品的安全性监测和评价方法研究、药械组合产品技术评价研究、人工智能医疗器械安全有效性评价研究、医疗器械新材料监管科学研究、真实世界数据用于医疗器械临床评价的方法学研究、化妆品安全性评价方法研究。</w:t>
      </w:r>
    </w:p>
    <w:p w14:paraId="3B8BE96C" w14:textId="77777777" w:rsidR="001526DC" w:rsidRDefault="001526DC" w:rsidP="001526DC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药品监管科学研究基地将依托国内知名高等院校、科研机构，围绕药品全生命周期，开展监管科学重点项目研究，开发系列新工具、新标准和新方法，夯实我国药品监管科学基础，助力药品监管科学可持续发展。同时，深入开展药品监管科学基础理论研究，推进监管科学学科建设，培养监管科学领军人才。</w:t>
      </w:r>
    </w:p>
    <w:p w14:paraId="7170AF59" w14:textId="77777777" w:rsidR="00CF136C" w:rsidRPr="001526DC" w:rsidRDefault="00CF136C"/>
    <w:sectPr w:rsidR="00CF136C" w:rsidRPr="0015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DC"/>
    <w:rsid w:val="001526DC"/>
    <w:rsid w:val="00C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357C"/>
  <w15:chartTrackingRefBased/>
  <w15:docId w15:val="{98BE99D6-D3ED-4DDD-B46A-348CCEEA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2020-10-13T02:52:00Z</dcterms:created>
  <dcterms:modified xsi:type="dcterms:W3CDTF">2020-10-13T02:53:00Z</dcterms:modified>
</cp:coreProperties>
</file>