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265" w:type="dxa"/>
        <w:tblCellMar>
          <w:left w:w="0" w:type="dxa"/>
          <w:right w:w="0" w:type="dxa"/>
        </w:tblCellMar>
        <w:tblLook w:val="04A0" w:firstRow="1" w:lastRow="0" w:firstColumn="1" w:lastColumn="0" w:noHBand="0" w:noVBand="1"/>
      </w:tblPr>
      <w:tblGrid>
        <w:gridCol w:w="1137"/>
        <w:gridCol w:w="2276"/>
        <w:gridCol w:w="1138"/>
        <w:gridCol w:w="1253"/>
        <w:gridCol w:w="910"/>
        <w:gridCol w:w="4551"/>
      </w:tblGrid>
      <w:tr w:rsidR="00ED7F9E" w:rsidRPr="00ED7F9E" w14:paraId="1A442C57" w14:textId="77777777" w:rsidTr="00ED7F9E">
        <w:tc>
          <w:tcPr>
            <w:tcW w:w="500" w:type="pct"/>
            <w:tcBorders>
              <w:top w:val="nil"/>
              <w:left w:val="nil"/>
              <w:bottom w:val="nil"/>
              <w:right w:val="nil"/>
            </w:tcBorders>
            <w:shd w:val="clear" w:color="auto" w:fill="auto"/>
            <w:hideMark/>
          </w:tcPr>
          <w:p w14:paraId="2077B2E4" w14:textId="77777777" w:rsidR="00ED7F9E" w:rsidRPr="00ED7F9E" w:rsidRDefault="00ED7F9E" w:rsidP="00ED7F9E">
            <w:pPr>
              <w:widowControl/>
              <w:spacing w:line="375" w:lineRule="atLeast"/>
              <w:jc w:val="left"/>
              <w:rPr>
                <w:rFonts w:ascii="Arial" w:eastAsia="宋体" w:hAnsi="Arial" w:cs="Arial"/>
                <w:color w:val="000000"/>
                <w:kern w:val="0"/>
                <w:sz w:val="24"/>
                <w:szCs w:val="24"/>
              </w:rPr>
            </w:pPr>
            <w:r w:rsidRPr="00ED7F9E">
              <w:rPr>
                <w:rFonts w:ascii="宋体" w:eastAsia="宋体" w:hAnsi="宋体" w:cs="Arial" w:hint="eastAsia"/>
                <w:b/>
                <w:bCs/>
                <w:color w:val="000000"/>
                <w:kern w:val="0"/>
                <w:sz w:val="18"/>
                <w:szCs w:val="18"/>
              </w:rPr>
              <w:t>信息名称：</w:t>
            </w:r>
          </w:p>
        </w:tc>
        <w:tc>
          <w:tcPr>
            <w:tcW w:w="0" w:type="auto"/>
            <w:gridSpan w:val="5"/>
            <w:tcBorders>
              <w:top w:val="nil"/>
              <w:left w:val="nil"/>
              <w:bottom w:val="nil"/>
              <w:right w:val="nil"/>
            </w:tcBorders>
            <w:shd w:val="clear" w:color="auto" w:fill="auto"/>
            <w:hideMark/>
          </w:tcPr>
          <w:p w14:paraId="2B1686F5" w14:textId="77777777" w:rsidR="00ED7F9E" w:rsidRPr="00ED7F9E" w:rsidRDefault="00ED7F9E" w:rsidP="00ED7F9E">
            <w:pPr>
              <w:widowControl/>
              <w:spacing w:line="375" w:lineRule="atLeast"/>
              <w:jc w:val="left"/>
              <w:rPr>
                <w:rFonts w:ascii="Arial" w:eastAsia="宋体" w:hAnsi="Arial" w:cs="Arial"/>
                <w:color w:val="000000"/>
                <w:kern w:val="0"/>
                <w:sz w:val="24"/>
                <w:szCs w:val="24"/>
              </w:rPr>
            </w:pPr>
            <w:r w:rsidRPr="00ED7F9E">
              <w:rPr>
                <w:rFonts w:ascii="宋体" w:eastAsia="宋体" w:hAnsi="宋体" w:cs="Arial" w:hint="eastAsia"/>
                <w:color w:val="000000"/>
                <w:kern w:val="0"/>
                <w:sz w:val="18"/>
                <w:szCs w:val="18"/>
              </w:rPr>
              <w:t>教育部 财政部 国家发展改革委关于印发《统筹推进世界一流大学和一流学科建设实施办法（暂行）》的通知</w:t>
            </w:r>
          </w:p>
        </w:tc>
      </w:tr>
      <w:tr w:rsidR="00ED7F9E" w:rsidRPr="00ED7F9E" w14:paraId="28CE251F" w14:textId="77777777" w:rsidTr="00ED7F9E">
        <w:tc>
          <w:tcPr>
            <w:tcW w:w="500" w:type="pct"/>
            <w:tcBorders>
              <w:top w:val="nil"/>
              <w:left w:val="nil"/>
              <w:bottom w:val="nil"/>
              <w:right w:val="nil"/>
            </w:tcBorders>
            <w:shd w:val="clear" w:color="auto" w:fill="auto"/>
            <w:hideMark/>
          </w:tcPr>
          <w:p w14:paraId="4465B616" w14:textId="77777777" w:rsidR="00ED7F9E" w:rsidRPr="00ED7F9E" w:rsidRDefault="00ED7F9E" w:rsidP="00ED7F9E">
            <w:pPr>
              <w:widowControl/>
              <w:spacing w:line="375" w:lineRule="atLeast"/>
              <w:jc w:val="left"/>
              <w:rPr>
                <w:rFonts w:ascii="Arial" w:eastAsia="宋体" w:hAnsi="Arial" w:cs="Arial"/>
                <w:color w:val="000000"/>
                <w:kern w:val="0"/>
                <w:sz w:val="24"/>
                <w:szCs w:val="24"/>
              </w:rPr>
            </w:pPr>
            <w:r w:rsidRPr="00ED7F9E">
              <w:rPr>
                <w:rFonts w:ascii="宋体" w:eastAsia="宋体" w:hAnsi="宋体" w:cs="Arial" w:hint="eastAsia"/>
                <w:b/>
                <w:bCs/>
                <w:color w:val="000000"/>
                <w:kern w:val="0"/>
                <w:sz w:val="18"/>
                <w:szCs w:val="18"/>
              </w:rPr>
              <w:t>信息索引：</w:t>
            </w:r>
          </w:p>
        </w:tc>
        <w:tc>
          <w:tcPr>
            <w:tcW w:w="1000" w:type="pct"/>
            <w:tcBorders>
              <w:top w:val="nil"/>
              <w:left w:val="nil"/>
              <w:bottom w:val="nil"/>
              <w:right w:val="nil"/>
            </w:tcBorders>
            <w:shd w:val="clear" w:color="auto" w:fill="auto"/>
            <w:hideMark/>
          </w:tcPr>
          <w:p w14:paraId="0D07317A" w14:textId="77777777" w:rsidR="00ED7F9E" w:rsidRPr="00ED7F9E" w:rsidRDefault="00ED7F9E" w:rsidP="00ED7F9E">
            <w:pPr>
              <w:widowControl/>
              <w:spacing w:line="375" w:lineRule="atLeast"/>
              <w:jc w:val="left"/>
              <w:rPr>
                <w:rFonts w:ascii="Arial" w:eastAsia="宋体" w:hAnsi="Arial" w:cs="Arial"/>
                <w:color w:val="000000"/>
                <w:kern w:val="0"/>
                <w:sz w:val="24"/>
                <w:szCs w:val="24"/>
              </w:rPr>
            </w:pPr>
            <w:r w:rsidRPr="00ED7F9E">
              <w:rPr>
                <w:rFonts w:ascii="宋体" w:eastAsia="宋体" w:hAnsi="宋体" w:cs="Arial" w:hint="eastAsia"/>
                <w:color w:val="000000"/>
                <w:kern w:val="0"/>
                <w:sz w:val="18"/>
                <w:szCs w:val="18"/>
              </w:rPr>
              <w:t>360A22-99-2017-0003-1</w:t>
            </w:r>
          </w:p>
        </w:tc>
        <w:tc>
          <w:tcPr>
            <w:tcW w:w="500" w:type="pct"/>
            <w:tcBorders>
              <w:top w:val="nil"/>
              <w:left w:val="nil"/>
              <w:bottom w:val="nil"/>
              <w:right w:val="nil"/>
            </w:tcBorders>
            <w:shd w:val="clear" w:color="auto" w:fill="auto"/>
            <w:hideMark/>
          </w:tcPr>
          <w:p w14:paraId="6801D3BC" w14:textId="77777777" w:rsidR="00ED7F9E" w:rsidRPr="00ED7F9E" w:rsidRDefault="00ED7F9E" w:rsidP="00ED7F9E">
            <w:pPr>
              <w:widowControl/>
              <w:spacing w:line="375" w:lineRule="atLeast"/>
              <w:jc w:val="left"/>
              <w:rPr>
                <w:rFonts w:ascii="Arial" w:eastAsia="宋体" w:hAnsi="Arial" w:cs="Arial"/>
                <w:color w:val="000000"/>
                <w:kern w:val="0"/>
                <w:sz w:val="24"/>
                <w:szCs w:val="24"/>
              </w:rPr>
            </w:pPr>
            <w:r w:rsidRPr="00ED7F9E">
              <w:rPr>
                <w:rFonts w:ascii="宋体" w:eastAsia="宋体" w:hAnsi="宋体" w:cs="Arial" w:hint="eastAsia"/>
                <w:b/>
                <w:bCs/>
                <w:color w:val="000000"/>
                <w:kern w:val="0"/>
                <w:sz w:val="18"/>
                <w:szCs w:val="18"/>
              </w:rPr>
              <w:t>生成日期：</w:t>
            </w:r>
          </w:p>
        </w:tc>
        <w:tc>
          <w:tcPr>
            <w:tcW w:w="550" w:type="pct"/>
            <w:tcBorders>
              <w:top w:val="nil"/>
              <w:left w:val="nil"/>
              <w:bottom w:val="nil"/>
              <w:right w:val="nil"/>
            </w:tcBorders>
            <w:shd w:val="clear" w:color="auto" w:fill="auto"/>
            <w:hideMark/>
          </w:tcPr>
          <w:p w14:paraId="2924B8E7" w14:textId="77777777" w:rsidR="00ED7F9E" w:rsidRPr="00ED7F9E" w:rsidRDefault="00ED7F9E" w:rsidP="00ED7F9E">
            <w:pPr>
              <w:widowControl/>
              <w:spacing w:line="375" w:lineRule="atLeast"/>
              <w:jc w:val="left"/>
              <w:rPr>
                <w:rFonts w:ascii="Arial" w:eastAsia="宋体" w:hAnsi="Arial" w:cs="Arial"/>
                <w:color w:val="000000"/>
                <w:kern w:val="0"/>
                <w:sz w:val="24"/>
                <w:szCs w:val="24"/>
              </w:rPr>
            </w:pPr>
            <w:r w:rsidRPr="00ED7F9E">
              <w:rPr>
                <w:rFonts w:ascii="宋体" w:eastAsia="宋体" w:hAnsi="宋体" w:cs="Arial" w:hint="eastAsia"/>
                <w:color w:val="000000"/>
                <w:kern w:val="0"/>
                <w:sz w:val="18"/>
                <w:szCs w:val="18"/>
              </w:rPr>
              <w:t>2017-01-25</w:t>
            </w:r>
          </w:p>
        </w:tc>
        <w:tc>
          <w:tcPr>
            <w:tcW w:w="400" w:type="pct"/>
            <w:tcBorders>
              <w:top w:val="nil"/>
              <w:left w:val="nil"/>
              <w:bottom w:val="nil"/>
              <w:right w:val="nil"/>
            </w:tcBorders>
            <w:shd w:val="clear" w:color="auto" w:fill="auto"/>
            <w:hideMark/>
          </w:tcPr>
          <w:p w14:paraId="00D63516" w14:textId="77777777" w:rsidR="00ED7F9E" w:rsidRPr="00ED7F9E" w:rsidRDefault="00ED7F9E" w:rsidP="00ED7F9E">
            <w:pPr>
              <w:widowControl/>
              <w:spacing w:line="375" w:lineRule="atLeast"/>
              <w:jc w:val="left"/>
              <w:rPr>
                <w:rFonts w:ascii="Arial" w:eastAsia="宋体" w:hAnsi="Arial" w:cs="Arial"/>
                <w:color w:val="000000"/>
                <w:kern w:val="0"/>
                <w:sz w:val="24"/>
                <w:szCs w:val="24"/>
              </w:rPr>
            </w:pPr>
            <w:r w:rsidRPr="00ED7F9E">
              <w:rPr>
                <w:rFonts w:ascii="宋体" w:eastAsia="宋体" w:hAnsi="宋体" w:cs="Arial" w:hint="eastAsia"/>
                <w:b/>
                <w:bCs/>
                <w:color w:val="000000"/>
                <w:kern w:val="0"/>
                <w:sz w:val="18"/>
                <w:szCs w:val="18"/>
              </w:rPr>
              <w:t>发文机构：</w:t>
            </w:r>
          </w:p>
        </w:tc>
        <w:tc>
          <w:tcPr>
            <w:tcW w:w="2000" w:type="pct"/>
            <w:tcBorders>
              <w:top w:val="nil"/>
              <w:left w:val="nil"/>
              <w:bottom w:val="nil"/>
              <w:right w:val="nil"/>
            </w:tcBorders>
            <w:shd w:val="clear" w:color="auto" w:fill="auto"/>
            <w:hideMark/>
          </w:tcPr>
          <w:p w14:paraId="34BF4530" w14:textId="77777777" w:rsidR="00ED7F9E" w:rsidRPr="00ED7F9E" w:rsidRDefault="00ED7F9E" w:rsidP="00ED7F9E">
            <w:pPr>
              <w:widowControl/>
              <w:spacing w:line="375" w:lineRule="atLeast"/>
              <w:jc w:val="left"/>
              <w:rPr>
                <w:rFonts w:ascii="Arial" w:eastAsia="宋体" w:hAnsi="Arial" w:cs="Arial"/>
                <w:color w:val="000000"/>
                <w:kern w:val="0"/>
                <w:sz w:val="24"/>
                <w:szCs w:val="24"/>
              </w:rPr>
            </w:pPr>
            <w:r w:rsidRPr="00ED7F9E">
              <w:rPr>
                <w:rFonts w:ascii="宋体" w:eastAsia="宋体" w:hAnsi="宋体" w:cs="Arial" w:hint="eastAsia"/>
                <w:color w:val="000000"/>
                <w:kern w:val="0"/>
                <w:sz w:val="18"/>
                <w:szCs w:val="18"/>
              </w:rPr>
              <w:t>教育部 财政部 国家发展改革委</w:t>
            </w:r>
          </w:p>
        </w:tc>
      </w:tr>
      <w:tr w:rsidR="00ED7F9E" w:rsidRPr="00ED7F9E" w14:paraId="18C4D0E7" w14:textId="77777777" w:rsidTr="00ED7F9E">
        <w:tc>
          <w:tcPr>
            <w:tcW w:w="500" w:type="pct"/>
            <w:tcBorders>
              <w:top w:val="nil"/>
              <w:left w:val="nil"/>
              <w:bottom w:val="nil"/>
              <w:right w:val="nil"/>
            </w:tcBorders>
            <w:shd w:val="clear" w:color="auto" w:fill="auto"/>
            <w:hideMark/>
          </w:tcPr>
          <w:p w14:paraId="0772DDB6" w14:textId="77777777" w:rsidR="00ED7F9E" w:rsidRPr="00ED7F9E" w:rsidRDefault="00ED7F9E" w:rsidP="00ED7F9E">
            <w:pPr>
              <w:widowControl/>
              <w:spacing w:line="375" w:lineRule="atLeast"/>
              <w:jc w:val="left"/>
              <w:rPr>
                <w:rFonts w:ascii="Arial" w:eastAsia="宋体" w:hAnsi="Arial" w:cs="Arial"/>
                <w:color w:val="000000"/>
                <w:kern w:val="0"/>
                <w:sz w:val="24"/>
                <w:szCs w:val="24"/>
              </w:rPr>
            </w:pPr>
            <w:r w:rsidRPr="00ED7F9E">
              <w:rPr>
                <w:rFonts w:ascii="宋体" w:eastAsia="宋体" w:hAnsi="宋体" w:cs="Arial" w:hint="eastAsia"/>
                <w:b/>
                <w:bCs/>
                <w:color w:val="000000"/>
                <w:kern w:val="0"/>
                <w:sz w:val="18"/>
                <w:szCs w:val="18"/>
              </w:rPr>
              <w:t>发文字号：</w:t>
            </w:r>
          </w:p>
        </w:tc>
        <w:tc>
          <w:tcPr>
            <w:tcW w:w="0" w:type="auto"/>
            <w:tcBorders>
              <w:top w:val="nil"/>
              <w:left w:val="nil"/>
              <w:bottom w:val="nil"/>
              <w:right w:val="nil"/>
            </w:tcBorders>
            <w:shd w:val="clear" w:color="auto" w:fill="auto"/>
            <w:hideMark/>
          </w:tcPr>
          <w:p w14:paraId="5CB036DD" w14:textId="77777777" w:rsidR="00ED7F9E" w:rsidRPr="00ED7F9E" w:rsidRDefault="00ED7F9E" w:rsidP="00ED7F9E">
            <w:pPr>
              <w:widowControl/>
              <w:spacing w:line="375" w:lineRule="atLeast"/>
              <w:jc w:val="left"/>
              <w:rPr>
                <w:rFonts w:ascii="Arial" w:eastAsia="宋体" w:hAnsi="Arial" w:cs="Arial"/>
                <w:color w:val="000000"/>
                <w:kern w:val="0"/>
                <w:sz w:val="24"/>
                <w:szCs w:val="24"/>
              </w:rPr>
            </w:pPr>
            <w:r w:rsidRPr="00ED7F9E">
              <w:rPr>
                <w:rFonts w:ascii="宋体" w:eastAsia="宋体" w:hAnsi="宋体" w:cs="Arial" w:hint="eastAsia"/>
                <w:color w:val="000000"/>
                <w:kern w:val="0"/>
                <w:sz w:val="18"/>
                <w:szCs w:val="18"/>
              </w:rPr>
              <w:t>教研〔2017〕2号</w:t>
            </w:r>
          </w:p>
        </w:tc>
        <w:tc>
          <w:tcPr>
            <w:tcW w:w="500" w:type="pct"/>
            <w:tcBorders>
              <w:top w:val="nil"/>
              <w:left w:val="nil"/>
              <w:bottom w:val="nil"/>
              <w:right w:val="nil"/>
            </w:tcBorders>
            <w:shd w:val="clear" w:color="auto" w:fill="auto"/>
            <w:hideMark/>
          </w:tcPr>
          <w:p w14:paraId="6F35B721" w14:textId="77777777" w:rsidR="00ED7F9E" w:rsidRPr="00ED7F9E" w:rsidRDefault="00ED7F9E" w:rsidP="00ED7F9E">
            <w:pPr>
              <w:widowControl/>
              <w:spacing w:line="375" w:lineRule="atLeast"/>
              <w:jc w:val="left"/>
              <w:rPr>
                <w:rFonts w:ascii="Arial" w:eastAsia="宋体" w:hAnsi="Arial" w:cs="Arial"/>
                <w:color w:val="000000"/>
                <w:kern w:val="0"/>
                <w:sz w:val="24"/>
                <w:szCs w:val="24"/>
              </w:rPr>
            </w:pPr>
            <w:r w:rsidRPr="00ED7F9E">
              <w:rPr>
                <w:rFonts w:ascii="宋体" w:eastAsia="宋体" w:hAnsi="宋体" w:cs="Arial" w:hint="eastAsia"/>
                <w:b/>
                <w:bCs/>
                <w:color w:val="000000"/>
                <w:kern w:val="0"/>
                <w:sz w:val="18"/>
                <w:szCs w:val="18"/>
              </w:rPr>
              <w:t>信息类别：</w:t>
            </w:r>
          </w:p>
        </w:tc>
        <w:tc>
          <w:tcPr>
            <w:tcW w:w="0" w:type="auto"/>
            <w:gridSpan w:val="3"/>
            <w:tcBorders>
              <w:top w:val="nil"/>
              <w:left w:val="nil"/>
              <w:bottom w:val="nil"/>
              <w:right w:val="nil"/>
            </w:tcBorders>
            <w:shd w:val="clear" w:color="auto" w:fill="auto"/>
            <w:hideMark/>
          </w:tcPr>
          <w:p w14:paraId="7ABF524A" w14:textId="77777777" w:rsidR="00ED7F9E" w:rsidRPr="00ED7F9E" w:rsidRDefault="00ED7F9E" w:rsidP="00ED7F9E">
            <w:pPr>
              <w:widowControl/>
              <w:spacing w:line="375" w:lineRule="atLeast"/>
              <w:jc w:val="left"/>
              <w:rPr>
                <w:rFonts w:ascii="Arial" w:eastAsia="宋体" w:hAnsi="Arial" w:cs="Arial"/>
                <w:color w:val="000000"/>
                <w:kern w:val="0"/>
                <w:sz w:val="24"/>
                <w:szCs w:val="24"/>
              </w:rPr>
            </w:pPr>
            <w:r w:rsidRPr="00ED7F9E">
              <w:rPr>
                <w:rFonts w:ascii="宋体" w:eastAsia="宋体" w:hAnsi="宋体" w:cs="Arial" w:hint="eastAsia"/>
                <w:color w:val="000000"/>
                <w:kern w:val="0"/>
                <w:sz w:val="18"/>
                <w:szCs w:val="18"/>
              </w:rPr>
              <w:t>其他</w:t>
            </w:r>
          </w:p>
        </w:tc>
      </w:tr>
      <w:tr w:rsidR="00ED7F9E" w:rsidRPr="00ED7F9E" w14:paraId="54E38F1F" w14:textId="77777777" w:rsidTr="00ED7F9E">
        <w:tc>
          <w:tcPr>
            <w:tcW w:w="500" w:type="pct"/>
            <w:tcBorders>
              <w:top w:val="nil"/>
              <w:left w:val="nil"/>
              <w:bottom w:val="nil"/>
              <w:right w:val="nil"/>
            </w:tcBorders>
            <w:shd w:val="clear" w:color="auto" w:fill="auto"/>
            <w:hideMark/>
          </w:tcPr>
          <w:p w14:paraId="518EF6AC" w14:textId="77777777" w:rsidR="00ED7F9E" w:rsidRPr="00ED7F9E" w:rsidRDefault="00ED7F9E" w:rsidP="00ED7F9E">
            <w:pPr>
              <w:widowControl/>
              <w:spacing w:line="375" w:lineRule="atLeast"/>
              <w:jc w:val="left"/>
              <w:rPr>
                <w:rFonts w:ascii="Arial" w:eastAsia="宋体" w:hAnsi="Arial" w:cs="Arial"/>
                <w:color w:val="000000"/>
                <w:kern w:val="0"/>
                <w:sz w:val="24"/>
                <w:szCs w:val="24"/>
              </w:rPr>
            </w:pPr>
            <w:r w:rsidRPr="00ED7F9E">
              <w:rPr>
                <w:rFonts w:ascii="宋体" w:eastAsia="宋体" w:hAnsi="宋体" w:cs="Arial" w:hint="eastAsia"/>
                <w:b/>
                <w:bCs/>
                <w:color w:val="000000"/>
                <w:kern w:val="0"/>
                <w:sz w:val="18"/>
                <w:szCs w:val="18"/>
              </w:rPr>
              <w:t>内容概述：</w:t>
            </w:r>
          </w:p>
        </w:tc>
        <w:tc>
          <w:tcPr>
            <w:tcW w:w="0" w:type="auto"/>
            <w:gridSpan w:val="5"/>
            <w:tcBorders>
              <w:top w:val="nil"/>
              <w:left w:val="nil"/>
              <w:bottom w:val="nil"/>
              <w:right w:val="nil"/>
            </w:tcBorders>
            <w:shd w:val="clear" w:color="auto" w:fill="auto"/>
            <w:hideMark/>
          </w:tcPr>
          <w:p w14:paraId="11A69AC4" w14:textId="77777777" w:rsidR="00ED7F9E" w:rsidRDefault="00ED7F9E" w:rsidP="00ED7F9E">
            <w:pPr>
              <w:widowControl/>
              <w:spacing w:line="375" w:lineRule="atLeast"/>
              <w:jc w:val="left"/>
              <w:rPr>
                <w:rFonts w:ascii="宋体" w:eastAsia="宋体" w:hAnsi="宋体" w:cs="Arial"/>
                <w:color w:val="000000"/>
                <w:kern w:val="0"/>
                <w:sz w:val="18"/>
                <w:szCs w:val="18"/>
              </w:rPr>
            </w:pPr>
            <w:r w:rsidRPr="00ED7F9E">
              <w:rPr>
                <w:rFonts w:ascii="宋体" w:eastAsia="宋体" w:hAnsi="宋体" w:cs="Arial" w:hint="eastAsia"/>
                <w:color w:val="000000"/>
                <w:kern w:val="0"/>
                <w:sz w:val="18"/>
                <w:szCs w:val="18"/>
              </w:rPr>
              <w:t>教育部 财政部 国家发展改革委印发《统筹推进世界一流大学和一流学科建设实施办法（暂行）》</w:t>
            </w:r>
          </w:p>
          <w:p w14:paraId="749A0CA2" w14:textId="4E4D96FF" w:rsidR="00ED7F9E" w:rsidRPr="00ED7F9E" w:rsidRDefault="00ED7F9E" w:rsidP="00ED7F9E">
            <w:pPr>
              <w:widowControl/>
              <w:spacing w:line="375" w:lineRule="atLeast"/>
              <w:jc w:val="left"/>
              <w:rPr>
                <w:rFonts w:ascii="Arial" w:eastAsia="宋体" w:hAnsi="Arial" w:cs="Arial" w:hint="eastAsia"/>
                <w:color w:val="000000"/>
                <w:kern w:val="0"/>
                <w:sz w:val="24"/>
                <w:szCs w:val="24"/>
              </w:rPr>
            </w:pPr>
          </w:p>
        </w:tc>
      </w:tr>
    </w:tbl>
    <w:p w14:paraId="38F6843C" w14:textId="77777777" w:rsidR="00ED7F9E" w:rsidRPr="00ED7F9E" w:rsidRDefault="00ED7F9E" w:rsidP="00ED7F9E">
      <w:pPr>
        <w:widowControl/>
        <w:shd w:val="clear" w:color="auto" w:fill="FFFFFF"/>
        <w:spacing w:line="480" w:lineRule="auto"/>
        <w:jc w:val="center"/>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30"/>
          <w:szCs w:val="30"/>
        </w:rPr>
        <w:t>教育部 财政部 国家发展改革委关于印发《统筹推进世界一流大学和一流学科建设实施办法（暂行）》的通知</w:t>
      </w:r>
    </w:p>
    <w:p w14:paraId="643BC1D2" w14:textId="77777777" w:rsidR="00ED7F9E" w:rsidRPr="00ED7F9E" w:rsidRDefault="00ED7F9E" w:rsidP="00ED7F9E">
      <w:pPr>
        <w:widowControl/>
        <w:shd w:val="clear" w:color="auto" w:fill="FFFFFF"/>
        <w:spacing w:line="480" w:lineRule="atLeast"/>
        <w:jc w:val="righ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教研〔2017〕2号</w:t>
      </w:r>
    </w:p>
    <w:p w14:paraId="63876ED4"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各省、自治区、直辖市人民政府，国务院各部委、各直属机构：</w:t>
      </w:r>
    </w:p>
    <w:p w14:paraId="5DB3972D"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 xml:space="preserve">　　为贯彻落实党中央、国务院关于建设世界一流大学和一流学科的重大战略决策，根据国务院《统筹推进世界一流大学和一流学科建设总体方案》，教育部、财政部、国家发展改革委制定了《统筹推进世界一流大学和一流学科建设实施办法（暂行）》，经国务院同意，现予以印发。</w:t>
      </w:r>
    </w:p>
    <w:p w14:paraId="4DBB8339" w14:textId="77777777" w:rsidR="00ED7F9E" w:rsidRPr="00ED7F9E" w:rsidRDefault="00ED7F9E" w:rsidP="00ED7F9E">
      <w:pPr>
        <w:widowControl/>
        <w:shd w:val="clear" w:color="auto" w:fill="FFFFFF"/>
        <w:spacing w:line="480" w:lineRule="atLeast"/>
        <w:jc w:val="righ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 xml:space="preserve">　　教育部 财政部 国家发展改革委</w:t>
      </w:r>
    </w:p>
    <w:p w14:paraId="2DA5EE6F" w14:textId="77777777" w:rsidR="00ED7F9E" w:rsidRPr="00ED7F9E" w:rsidRDefault="00ED7F9E" w:rsidP="00ED7F9E">
      <w:pPr>
        <w:widowControl/>
        <w:shd w:val="clear" w:color="auto" w:fill="FFFFFF"/>
        <w:spacing w:line="480" w:lineRule="atLeast"/>
        <w:jc w:val="righ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2017年1月24日</w:t>
      </w:r>
    </w:p>
    <w:p w14:paraId="51B8F22A" w14:textId="77777777" w:rsidR="00ED7F9E" w:rsidRPr="00ED7F9E" w:rsidRDefault="00ED7F9E" w:rsidP="00ED7F9E">
      <w:pPr>
        <w:widowControl/>
        <w:shd w:val="clear" w:color="auto" w:fill="FFFFFF"/>
        <w:spacing w:line="480" w:lineRule="atLeast"/>
        <w:jc w:val="center"/>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统筹推进世界一流大学和一流学科建设实施办法（暂行）</w:t>
      </w:r>
    </w:p>
    <w:p w14:paraId="3F2F06EE" w14:textId="77777777" w:rsidR="00ED7F9E" w:rsidRPr="00ED7F9E" w:rsidRDefault="00ED7F9E" w:rsidP="00ED7F9E">
      <w:pPr>
        <w:widowControl/>
        <w:shd w:val="clear" w:color="auto" w:fill="FFFFFF"/>
        <w:spacing w:line="480" w:lineRule="atLeast"/>
        <w:jc w:val="center"/>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第一章 总则</w:t>
      </w:r>
    </w:p>
    <w:p w14:paraId="0A29B1DB"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第一条</w:t>
      </w:r>
      <w:r w:rsidRPr="00ED7F9E">
        <w:rPr>
          <w:rFonts w:ascii="微软雅黑" w:eastAsia="微软雅黑" w:hAnsi="微软雅黑" w:cs="Arial" w:hint="eastAsia"/>
          <w:color w:val="000000"/>
          <w:kern w:val="0"/>
          <w:sz w:val="24"/>
          <w:szCs w:val="24"/>
        </w:rPr>
        <w:t> 为贯彻落实党中央、国务院关于建设世界一流大学和一流学科的重大战略决策部署，根据《统筹推进世界一流大学和一流学科建设总体方案》（国发〔2015〕64号，以下简称《总体方案》），制定本办法。</w:t>
      </w:r>
    </w:p>
    <w:p w14:paraId="7C98C66B"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第二条</w:t>
      </w:r>
      <w:r w:rsidRPr="00ED7F9E">
        <w:rPr>
          <w:rFonts w:ascii="微软雅黑" w:eastAsia="微软雅黑" w:hAnsi="微软雅黑" w:cs="Arial" w:hint="eastAsia"/>
          <w:color w:val="000000"/>
          <w:kern w:val="0"/>
          <w:sz w:val="24"/>
          <w:szCs w:val="24"/>
        </w:rPr>
        <w:t> 全面贯彻党的教育方针，坚持社会主义办学方向，按照“四个全面”战略布局和创新、协调、绿色、开放、共享发展理念，以中国特色、世界一流为核心，落实立德树人根本任务，以一流为目标、以学科为基础、以绩效为杠杆、以改革为动力，推动一批高水平大学和学科进入世界一流行列或前列，为</w:t>
      </w:r>
      <w:r w:rsidRPr="00ED7F9E">
        <w:rPr>
          <w:rFonts w:ascii="微软雅黑" w:eastAsia="微软雅黑" w:hAnsi="微软雅黑" w:cs="Arial" w:hint="eastAsia"/>
          <w:color w:val="000000"/>
          <w:kern w:val="0"/>
          <w:sz w:val="24"/>
          <w:szCs w:val="24"/>
        </w:rPr>
        <w:lastRenderedPageBreak/>
        <w:t>实现“两个一百年”奋斗目标、实现中华民族伟大复兴的中国梦提供有力支撑。</w:t>
      </w:r>
    </w:p>
    <w:p w14:paraId="0C00E8FE"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第三条</w:t>
      </w:r>
      <w:r w:rsidRPr="00ED7F9E">
        <w:rPr>
          <w:rFonts w:ascii="微软雅黑" w:eastAsia="微软雅黑" w:hAnsi="微软雅黑" w:cs="Arial" w:hint="eastAsia"/>
          <w:color w:val="000000"/>
          <w:kern w:val="0"/>
          <w:sz w:val="24"/>
          <w:szCs w:val="24"/>
        </w:rPr>
        <w:t> 面向国家重大战略需求，面向经济社会主战场，面向世界科技发展前沿，突出建设的质量效益、社会贡献度和国际影响力，突出学科交叉融合和协同创新，突出与产业发展、社会需求、科技前沿紧密衔接，深化产教融合，全面提升我国高等教育在人才培养、科学研究、社会服务、文化传承创新和国际交流合作中的综合实力。</w:t>
      </w:r>
    </w:p>
    <w:p w14:paraId="19F6FDF7"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 xml:space="preserve">　　到2020年，若干所大学和一批学科进入世界一流行列，若干学科进入世界一流学科前列；到2030年，更多的大学和学科进入世界一流行列，若干所大学进入世界一流大学前列，一批学科进入世界一流学科前列，高等教育整体实力显著提升；到本世纪中叶，一流大学和一流学科的数量和实力进入世界前列，基本建成高等教育强国。</w:t>
      </w:r>
    </w:p>
    <w:p w14:paraId="3379AE38"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第四条</w:t>
      </w:r>
      <w:r w:rsidRPr="00ED7F9E">
        <w:rPr>
          <w:rFonts w:ascii="微软雅黑" w:eastAsia="微软雅黑" w:hAnsi="微软雅黑" w:cs="Arial" w:hint="eastAsia"/>
          <w:color w:val="000000"/>
          <w:kern w:val="0"/>
          <w:sz w:val="24"/>
          <w:szCs w:val="24"/>
        </w:rPr>
        <w:t> 加强总体规划，坚持扶优</w:t>
      </w:r>
      <w:proofErr w:type="gramStart"/>
      <w:r w:rsidRPr="00ED7F9E">
        <w:rPr>
          <w:rFonts w:ascii="微软雅黑" w:eastAsia="微软雅黑" w:hAnsi="微软雅黑" w:cs="Arial" w:hint="eastAsia"/>
          <w:color w:val="000000"/>
          <w:kern w:val="0"/>
          <w:sz w:val="24"/>
          <w:szCs w:val="24"/>
        </w:rPr>
        <w:t>扶需扶特扶</w:t>
      </w:r>
      <w:proofErr w:type="gramEnd"/>
      <w:r w:rsidRPr="00ED7F9E">
        <w:rPr>
          <w:rFonts w:ascii="微软雅黑" w:eastAsia="微软雅黑" w:hAnsi="微软雅黑" w:cs="Arial" w:hint="eastAsia"/>
          <w:color w:val="000000"/>
          <w:kern w:val="0"/>
          <w:sz w:val="24"/>
          <w:szCs w:val="24"/>
        </w:rPr>
        <w:t>新，按照“一流大学”和“一流学科”两类布局建设高校，引导和支持具备较强实力的高校合理定位、办出特色、差别化发展，努力形成支撑国家长远发展的一流大学和一流学科体系。</w:t>
      </w:r>
    </w:p>
    <w:p w14:paraId="5E1D6ABE"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第五条</w:t>
      </w:r>
      <w:r w:rsidRPr="00ED7F9E">
        <w:rPr>
          <w:rFonts w:ascii="微软雅黑" w:eastAsia="微软雅黑" w:hAnsi="微软雅黑" w:cs="Arial" w:hint="eastAsia"/>
          <w:color w:val="000000"/>
          <w:kern w:val="0"/>
          <w:sz w:val="24"/>
          <w:szCs w:val="24"/>
        </w:rPr>
        <w:t> 坚持以学科为基础，支持建设一百个左右学科，着力打造学科领域高峰。支持一批接近或达到世界先进水平的学科，加强建设关系国家安全和重大利益的学科，鼓励新兴学科、交叉学科，布局一批国家急需、支撑产业转型升级和区域发展的学科，积极建设具有中国特色、中国风格、中国气派的哲学社会科学体系，着力解决经济社会中的重大战略问题，提升国家自主创新能力和核心竞争力。强化学科建设绩效考核，引领高校提高办学水平和综合实力。</w:t>
      </w:r>
    </w:p>
    <w:p w14:paraId="2994D10B"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lastRenderedPageBreak/>
        <w:t>第六条</w:t>
      </w:r>
      <w:r w:rsidRPr="00ED7F9E">
        <w:rPr>
          <w:rFonts w:ascii="微软雅黑" w:eastAsia="微软雅黑" w:hAnsi="微软雅黑" w:cs="Arial" w:hint="eastAsia"/>
          <w:color w:val="000000"/>
          <w:kern w:val="0"/>
          <w:sz w:val="24"/>
          <w:szCs w:val="24"/>
        </w:rPr>
        <w:t> 每五年一个建设周期，2016年开始新一轮建设。建设高校实行总量控制、开放竞争、动态调整。</w:t>
      </w:r>
    </w:p>
    <w:p w14:paraId="4D245A8D" w14:textId="77777777" w:rsidR="00ED7F9E" w:rsidRPr="00ED7F9E" w:rsidRDefault="00ED7F9E" w:rsidP="00ED7F9E">
      <w:pPr>
        <w:widowControl/>
        <w:shd w:val="clear" w:color="auto" w:fill="FFFFFF"/>
        <w:spacing w:line="480" w:lineRule="atLeast"/>
        <w:jc w:val="center"/>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第二章 遴选条件</w:t>
      </w:r>
    </w:p>
    <w:p w14:paraId="06B2BEF9"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第七条</w:t>
      </w:r>
      <w:r w:rsidRPr="00ED7F9E">
        <w:rPr>
          <w:rFonts w:ascii="微软雅黑" w:eastAsia="微软雅黑" w:hAnsi="微软雅黑" w:cs="Arial" w:hint="eastAsia"/>
          <w:color w:val="000000"/>
          <w:kern w:val="0"/>
          <w:sz w:val="24"/>
          <w:szCs w:val="24"/>
        </w:rPr>
        <w:t> 一流大学建设高校应是经过长期重点建设、具有先进办学理念、办学实力强、社会认可度较高的高校，须拥有一定数量国内领先、国际前列的高水平学科，在改革创新和现代大学制度建设中成效显著。</w:t>
      </w:r>
    </w:p>
    <w:p w14:paraId="12551194"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 xml:space="preserve">　　一流学科建设高校应具有居于国内前列或国际前沿的高水平学科，学科水平在有影响力的第三方评价中进入前列，或者国家急需、具有重大的行业或区域影响、学科优势突出、具有不可替代性。</w:t>
      </w:r>
    </w:p>
    <w:p w14:paraId="64901A4E"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 xml:space="preserve">　　人才培养方面，坚持立德树人，培育和</w:t>
      </w:r>
      <w:proofErr w:type="gramStart"/>
      <w:r w:rsidRPr="00ED7F9E">
        <w:rPr>
          <w:rFonts w:ascii="微软雅黑" w:eastAsia="微软雅黑" w:hAnsi="微软雅黑" w:cs="Arial" w:hint="eastAsia"/>
          <w:color w:val="000000"/>
          <w:kern w:val="0"/>
          <w:sz w:val="24"/>
          <w:szCs w:val="24"/>
        </w:rPr>
        <w:t>践行</w:t>
      </w:r>
      <w:proofErr w:type="gramEnd"/>
      <w:r w:rsidRPr="00ED7F9E">
        <w:rPr>
          <w:rFonts w:ascii="微软雅黑" w:eastAsia="微软雅黑" w:hAnsi="微软雅黑" w:cs="Arial" w:hint="eastAsia"/>
          <w:color w:val="000000"/>
          <w:kern w:val="0"/>
          <w:sz w:val="24"/>
          <w:szCs w:val="24"/>
        </w:rPr>
        <w:t>社会主义核心价值观，在拔尖创新人才培养模式、协同育人机制、创新创业教育方面成果显著；积极推进课程体系和教学内容改革，教学成果丰硕；资源配置、政策导向体现人才培养的核心地位；质量保障体系完善，有高质量的本科生教育和研究生教育；注重培养学生社会责任感、法治意识、创新精神和实践能力，人才培养质量得到社会高度认可。</w:t>
      </w:r>
    </w:p>
    <w:p w14:paraId="074DFD61"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 xml:space="preserve">　　科学研究方面，科研组织和科研机制健全，协同创新成效显著。基础研究处于科学前沿，原始创新能力较强，形成具有重要影响的新知识新理论；应用研究解决了国民经济中的重大关键性技术和工程问题，或实现了重大颠覆性技术创新；哲学社会科学研究为解决经济社会发展重大理论和现实问题提供了有效支撑。</w:t>
      </w:r>
    </w:p>
    <w:p w14:paraId="55FE19F3"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 xml:space="preserve">　　社会服务方面，产学研深度融合，实现合作办学、合作育人、合作发展，科研成果转化绩效突出，形成具有中国特色和世界影响的新型高端智库，为国</w:t>
      </w:r>
      <w:r w:rsidRPr="00ED7F9E">
        <w:rPr>
          <w:rFonts w:ascii="微软雅黑" w:eastAsia="微软雅黑" w:hAnsi="微软雅黑" w:cs="Arial" w:hint="eastAsia"/>
          <w:color w:val="000000"/>
          <w:kern w:val="0"/>
          <w:sz w:val="24"/>
          <w:szCs w:val="24"/>
        </w:rPr>
        <w:lastRenderedPageBreak/>
        <w:t>家和区域经济转型、产业升级和技术变革、服务国家安全和社会公共安全做出突出贡献，运用新知识新理论认识世界、传承文明、科学普及、资政育人和服务社</w:t>
      </w:r>
      <w:proofErr w:type="gramStart"/>
      <w:r w:rsidRPr="00ED7F9E">
        <w:rPr>
          <w:rFonts w:ascii="微软雅黑" w:eastAsia="微软雅黑" w:hAnsi="微软雅黑" w:cs="Arial" w:hint="eastAsia"/>
          <w:color w:val="000000"/>
          <w:kern w:val="0"/>
          <w:sz w:val="24"/>
          <w:szCs w:val="24"/>
        </w:rPr>
        <w:t>会成效</w:t>
      </w:r>
      <w:proofErr w:type="gramEnd"/>
      <w:r w:rsidRPr="00ED7F9E">
        <w:rPr>
          <w:rFonts w:ascii="微软雅黑" w:eastAsia="微软雅黑" w:hAnsi="微软雅黑" w:cs="Arial" w:hint="eastAsia"/>
          <w:color w:val="000000"/>
          <w:kern w:val="0"/>
          <w:sz w:val="24"/>
          <w:szCs w:val="24"/>
        </w:rPr>
        <w:t>显著。</w:t>
      </w:r>
    </w:p>
    <w:p w14:paraId="10366376"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 xml:space="preserve">　　文化传承创新方面，传承弘扬中华优秀传统文化，推动社会主义先进文化建设成效显著；增强文化自信，具有较强的国际文化传播影响力；具有师生认同的优秀教风学风校风，具有广阔的文化视野和强大的文化创新能力，形成引领社会进步、特色鲜明的大学精神和大学文化。</w:t>
      </w:r>
    </w:p>
    <w:p w14:paraId="119253BA"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 xml:space="preserve">　　师资队伍建设方面，教师队伍政治素质强，整体水平高，潜心教书育人，师德师风优良；一线教师普遍掌握先进的教学方法和技术，教学经验丰富，教学效果良好；有一批活跃在国际学术前沿的一流专家、学科领军人物和创新团队；教师结构合理，中青年教师成长环境良好，可持续发展后劲足。</w:t>
      </w:r>
    </w:p>
    <w:p w14:paraId="35A2C057"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 xml:space="preserve">　　国际交流合作方面，吸引海外优质师资、科研团队和学生能力强，与世界高水平大学学生交换、学分互认、联合培养成效显著，与世界高水平大学和学术机构有深度的学术交流与科研合作，深度参与国际或区域性重大科学计划、科学工程，参加国际标准和规则的制定，国际影响力较强。</w:t>
      </w:r>
    </w:p>
    <w:p w14:paraId="3FB9A52B" w14:textId="77777777" w:rsidR="00ED7F9E" w:rsidRPr="00ED7F9E" w:rsidRDefault="00ED7F9E" w:rsidP="00ED7F9E">
      <w:pPr>
        <w:widowControl/>
        <w:shd w:val="clear" w:color="auto" w:fill="FFFFFF"/>
        <w:spacing w:line="480" w:lineRule="atLeast"/>
        <w:jc w:val="center"/>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第三章 遴选程序</w:t>
      </w:r>
    </w:p>
    <w:p w14:paraId="50023B1C"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第八条</w:t>
      </w:r>
      <w:r w:rsidRPr="00ED7F9E">
        <w:rPr>
          <w:rFonts w:ascii="微软雅黑" w:eastAsia="微软雅黑" w:hAnsi="微软雅黑" w:cs="Arial" w:hint="eastAsia"/>
          <w:color w:val="000000"/>
          <w:kern w:val="0"/>
          <w:sz w:val="24"/>
          <w:szCs w:val="24"/>
        </w:rPr>
        <w:t> 坚持公平公正、开放竞争。采取认定方式确定一流大学、一流学科建设高校及建设学科。</w:t>
      </w:r>
    </w:p>
    <w:p w14:paraId="00A28EDF"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第九条</w:t>
      </w:r>
      <w:r w:rsidRPr="00ED7F9E">
        <w:rPr>
          <w:rFonts w:ascii="微软雅黑" w:eastAsia="微软雅黑" w:hAnsi="微软雅黑" w:cs="Arial" w:hint="eastAsia"/>
          <w:color w:val="000000"/>
          <w:kern w:val="0"/>
          <w:sz w:val="24"/>
          <w:szCs w:val="24"/>
        </w:rPr>
        <w:t> 设立世界一流大学和一流学科建设专家委员会，由政府有关部门、高校、科研机构、行业组织人员组成。专家委员会根据《总体方案》要求和本办法，以中国特色学科评价为主要依据，参考国际相关评价因素，综合高校办学</w:t>
      </w:r>
      <w:r w:rsidRPr="00ED7F9E">
        <w:rPr>
          <w:rFonts w:ascii="微软雅黑" w:eastAsia="微软雅黑" w:hAnsi="微软雅黑" w:cs="Arial" w:hint="eastAsia"/>
          <w:color w:val="000000"/>
          <w:kern w:val="0"/>
          <w:sz w:val="24"/>
          <w:szCs w:val="24"/>
        </w:rPr>
        <w:lastRenderedPageBreak/>
        <w:t>条件、学科水平、办学质量、主要贡献、国际影响力等情况，以及高校主管部门意见，论证确定一流大学和一流学科建设高校的认定标准。</w:t>
      </w:r>
    </w:p>
    <w:p w14:paraId="774FB17D"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第十条</w:t>
      </w:r>
      <w:r w:rsidRPr="00ED7F9E">
        <w:rPr>
          <w:rFonts w:ascii="微软雅黑" w:eastAsia="微软雅黑" w:hAnsi="微软雅黑" w:cs="Arial" w:hint="eastAsia"/>
          <w:color w:val="000000"/>
          <w:kern w:val="0"/>
          <w:sz w:val="24"/>
          <w:szCs w:val="24"/>
        </w:rPr>
        <w:t> 根据认定标准专家委员会遴选产生拟建设高校名单，并提出意见建议。教育部、财政部、发展改革委审议确定建议名单。</w:t>
      </w:r>
    </w:p>
    <w:p w14:paraId="4758F642"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第十一条</w:t>
      </w:r>
      <w:r w:rsidRPr="00ED7F9E">
        <w:rPr>
          <w:rFonts w:ascii="微软雅黑" w:eastAsia="微软雅黑" w:hAnsi="微软雅黑" w:cs="Arial" w:hint="eastAsia"/>
          <w:color w:val="000000"/>
          <w:kern w:val="0"/>
          <w:sz w:val="24"/>
          <w:szCs w:val="24"/>
        </w:rPr>
        <w:t> 列入拟建设名单的高校要根据自身实际，以改革为动力，结合学校综合改革方案和专家委员会咨询建议，确定建设思路，合理选择建设路径，自主确定学科建设口径和范围，科学编制整体建设方案、分学科建设方案（以下统称建设方案）。建设方案要以人才培养为核心，优化学科建设结构和布局，完善内部治理结构，形成调动各方积极参与的长效建设机制，以一流学科建设引领健全学科生态体系，带动学校整体发展。以5年为一周期，统筹安排建设和改革任务，综合考虑各渠道资金和相应的管理要求，设定合理、具体的分阶段建设目标和建设内容，细化具体的执行项目，提出系统的考核指标体系，避免平均用力或碎片化。高校</w:t>
      </w:r>
      <w:proofErr w:type="gramStart"/>
      <w:r w:rsidRPr="00ED7F9E">
        <w:rPr>
          <w:rFonts w:ascii="微软雅黑" w:eastAsia="微软雅黑" w:hAnsi="微软雅黑" w:cs="Arial" w:hint="eastAsia"/>
          <w:color w:val="000000"/>
          <w:kern w:val="0"/>
          <w:sz w:val="24"/>
          <w:szCs w:val="24"/>
        </w:rPr>
        <w:t>须组织</w:t>
      </w:r>
      <w:proofErr w:type="gramEnd"/>
      <w:r w:rsidRPr="00ED7F9E">
        <w:rPr>
          <w:rFonts w:ascii="微软雅黑" w:eastAsia="微软雅黑" w:hAnsi="微软雅黑" w:cs="Arial" w:hint="eastAsia"/>
          <w:color w:val="000000"/>
          <w:kern w:val="0"/>
          <w:sz w:val="24"/>
          <w:szCs w:val="24"/>
        </w:rPr>
        <w:t>相关专家，结合经济社会发展需求和国家战略需要，对建设方案的科学性、可行性进行深入论证。</w:t>
      </w:r>
    </w:p>
    <w:p w14:paraId="3AEC0BEE"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第十二条</w:t>
      </w:r>
      <w:r w:rsidRPr="00ED7F9E">
        <w:rPr>
          <w:rFonts w:ascii="微软雅黑" w:eastAsia="微软雅黑" w:hAnsi="微软雅黑" w:cs="Arial" w:hint="eastAsia"/>
          <w:color w:val="000000"/>
          <w:kern w:val="0"/>
          <w:sz w:val="24"/>
          <w:szCs w:val="24"/>
        </w:rPr>
        <w:t> 论证通过的建设方案及专家论证报告，经高校报所属省级人民政府或主管部门审核通过后，报教育部、财政部、发展改革委。</w:t>
      </w:r>
    </w:p>
    <w:p w14:paraId="0C928E05"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第十三条</w:t>
      </w:r>
      <w:r w:rsidRPr="00ED7F9E">
        <w:rPr>
          <w:rFonts w:ascii="微软雅黑" w:eastAsia="微软雅黑" w:hAnsi="微软雅黑" w:cs="Arial" w:hint="eastAsia"/>
          <w:color w:val="000000"/>
          <w:kern w:val="0"/>
          <w:sz w:val="24"/>
          <w:szCs w:val="24"/>
        </w:rPr>
        <w:t> 专家委员会对高校建设方案进行审核，提出意见。</w:t>
      </w:r>
    </w:p>
    <w:p w14:paraId="6D5F0026"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第十四条</w:t>
      </w:r>
      <w:r w:rsidRPr="00ED7F9E">
        <w:rPr>
          <w:rFonts w:ascii="微软雅黑" w:eastAsia="微软雅黑" w:hAnsi="微软雅黑" w:cs="Arial" w:hint="eastAsia"/>
          <w:color w:val="000000"/>
          <w:kern w:val="0"/>
          <w:sz w:val="24"/>
          <w:szCs w:val="24"/>
        </w:rPr>
        <w:t> 教育部、财政部、发展改革委根据专家委员会意见，研究确定一流大学、一流学科建设高校及建设学科，报国务院批准。</w:t>
      </w:r>
    </w:p>
    <w:p w14:paraId="7095A3B1" w14:textId="77777777" w:rsidR="00ED7F9E" w:rsidRPr="00ED7F9E" w:rsidRDefault="00ED7F9E" w:rsidP="00ED7F9E">
      <w:pPr>
        <w:widowControl/>
        <w:shd w:val="clear" w:color="auto" w:fill="FFFFFF"/>
        <w:spacing w:line="480" w:lineRule="atLeast"/>
        <w:jc w:val="center"/>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第四章 支持方式</w:t>
      </w:r>
    </w:p>
    <w:p w14:paraId="37B5C11A"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第十五条</w:t>
      </w:r>
      <w:r w:rsidRPr="00ED7F9E">
        <w:rPr>
          <w:rFonts w:ascii="微软雅黑" w:eastAsia="微软雅黑" w:hAnsi="微软雅黑" w:cs="Arial" w:hint="eastAsia"/>
          <w:color w:val="000000"/>
          <w:kern w:val="0"/>
          <w:sz w:val="24"/>
          <w:szCs w:val="24"/>
        </w:rPr>
        <w:t> 创新支持方式，强化精准支持，综合考虑建设高校基础、学科类别及发展水平等，给予相应支持。</w:t>
      </w:r>
    </w:p>
    <w:p w14:paraId="52BDC967"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lastRenderedPageBreak/>
        <w:t>第十六条</w:t>
      </w:r>
      <w:r w:rsidRPr="00ED7F9E">
        <w:rPr>
          <w:rFonts w:ascii="微软雅黑" w:eastAsia="微软雅黑" w:hAnsi="微软雅黑" w:cs="Arial" w:hint="eastAsia"/>
          <w:color w:val="000000"/>
          <w:kern w:val="0"/>
          <w:sz w:val="24"/>
          <w:szCs w:val="24"/>
        </w:rPr>
        <w:t> 中央高校开展世界一流大学和一流学科建设所需经费由中央财政支持；中央预算内投资对中央高校学科建设相关基础设施给予支持。纳入世界一流大学和一流学科建设范围的地方高校，所需资金由地方财政统筹安排，中央财政予以引导支持。</w:t>
      </w:r>
    </w:p>
    <w:p w14:paraId="55E44EC8"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color w:val="000000"/>
          <w:kern w:val="0"/>
          <w:sz w:val="24"/>
          <w:szCs w:val="24"/>
        </w:rPr>
        <w:t xml:space="preserve">　　有关部门深化高等教育领域简政放权改革，放管结合优化服务，在考试招生、人事制度、经费管理、学位授权、科研评价等方面切实落实建设高校自主权。</w:t>
      </w:r>
    </w:p>
    <w:p w14:paraId="32AF2ABF"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第十七条</w:t>
      </w:r>
      <w:r w:rsidRPr="00ED7F9E">
        <w:rPr>
          <w:rFonts w:ascii="微软雅黑" w:eastAsia="微软雅黑" w:hAnsi="微软雅黑" w:cs="Arial" w:hint="eastAsia"/>
          <w:color w:val="000000"/>
          <w:kern w:val="0"/>
          <w:sz w:val="24"/>
          <w:szCs w:val="24"/>
        </w:rPr>
        <w:t> 地方政府和有关主管部门应通过多种方式，对世界一流大学和一流学科建设加大资金、政策、资源支持力度。建设高校要积极争取社会各方资源，形成多元支持的长效机制。</w:t>
      </w:r>
    </w:p>
    <w:p w14:paraId="05079DEF"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第十八条</w:t>
      </w:r>
      <w:r w:rsidRPr="00ED7F9E">
        <w:rPr>
          <w:rFonts w:ascii="微软雅黑" w:eastAsia="微软雅黑" w:hAnsi="微软雅黑" w:cs="Arial" w:hint="eastAsia"/>
          <w:color w:val="000000"/>
          <w:kern w:val="0"/>
          <w:sz w:val="24"/>
          <w:szCs w:val="24"/>
        </w:rPr>
        <w:t> 建设高校完善经费使用管理方式，切实管好用好，提高使用效益。</w:t>
      </w:r>
    </w:p>
    <w:p w14:paraId="10428450" w14:textId="77777777" w:rsidR="00ED7F9E" w:rsidRPr="00ED7F9E" w:rsidRDefault="00ED7F9E" w:rsidP="00ED7F9E">
      <w:pPr>
        <w:widowControl/>
        <w:shd w:val="clear" w:color="auto" w:fill="FFFFFF"/>
        <w:spacing w:line="480" w:lineRule="atLeast"/>
        <w:jc w:val="center"/>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第五章 动态管理</w:t>
      </w:r>
    </w:p>
    <w:p w14:paraId="62DAA429"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第十九条</w:t>
      </w:r>
      <w:r w:rsidRPr="00ED7F9E">
        <w:rPr>
          <w:rFonts w:ascii="微软雅黑" w:eastAsia="微软雅黑" w:hAnsi="微软雅黑" w:cs="Arial" w:hint="eastAsia"/>
          <w:color w:val="000000"/>
          <w:kern w:val="0"/>
          <w:sz w:val="24"/>
          <w:szCs w:val="24"/>
        </w:rPr>
        <w:t> 加强过程管理，实施动态监测，及时跟踪指导。以学科为基础，制定科学合理的绩效评价办法，开展中期和期末评价，加大经费动态支持力度，形成激励约束机制，增强建设实效。</w:t>
      </w:r>
    </w:p>
    <w:p w14:paraId="78D8B473"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第二十条</w:t>
      </w:r>
      <w:r w:rsidRPr="00ED7F9E">
        <w:rPr>
          <w:rFonts w:ascii="微软雅黑" w:eastAsia="微软雅黑" w:hAnsi="微软雅黑" w:cs="Arial" w:hint="eastAsia"/>
          <w:color w:val="000000"/>
          <w:kern w:val="0"/>
          <w:sz w:val="24"/>
          <w:szCs w:val="24"/>
        </w:rPr>
        <w:t> 建设中期，建设高校根据建设方案对建设情况进行自评，对改革的实施情况、建设目标和任务完成情况、学科水平、资金管理使用情况等进行分析，发布自评报告。专家委员会根据建设高校的建设方案和自评报告，参考有影响力的第三方评价，对建设成效进行评价，提出中期评价意见。根据中期评价结果，对实施有力、进展良好、成效明显的建设高校及建设学科，加大支持力度；对实施不力、进展缓慢、缺乏实效的建设高校及建设学科，提出警示并减小支持力度。</w:t>
      </w:r>
    </w:p>
    <w:p w14:paraId="2C8F8DC6"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lastRenderedPageBreak/>
        <w:t>第二十一条</w:t>
      </w:r>
      <w:r w:rsidRPr="00ED7F9E">
        <w:rPr>
          <w:rFonts w:ascii="微软雅黑" w:eastAsia="微软雅黑" w:hAnsi="微软雅黑" w:cs="Arial" w:hint="eastAsia"/>
          <w:color w:val="000000"/>
          <w:kern w:val="0"/>
          <w:sz w:val="24"/>
          <w:szCs w:val="24"/>
        </w:rPr>
        <w:t> 打破身份固化，建立建设高校及建设学科有进有出动态调整机制。建设过程中，对于出现重大问题、不再具备建设条件且经警示整改仍无改善的高校及建设学科，调整出建设范围。</w:t>
      </w:r>
    </w:p>
    <w:p w14:paraId="1A3EB149"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第二十二条</w:t>
      </w:r>
      <w:r w:rsidRPr="00ED7F9E">
        <w:rPr>
          <w:rFonts w:ascii="微软雅黑" w:eastAsia="微软雅黑" w:hAnsi="微软雅黑" w:cs="Arial" w:hint="eastAsia"/>
          <w:color w:val="000000"/>
          <w:kern w:val="0"/>
          <w:sz w:val="24"/>
          <w:szCs w:val="24"/>
        </w:rPr>
        <w:t> 建设期末，建设高校根据建设方案对建设情况进行整体自评，对改革的实施情况、建设目标和任务完成情况、学科水平、资金管理使用情况等进行全面分析，发布整体自评报告。专家委员会根据建设高校的建设方案及整体自评报告，参考有影响力的第三方评价，对建设成效进行评价，提出评价意见。根据期末评价结果等情况，重新确定下一轮建设范围。对于建设成效特别突出、国际影响力特别显著的少数建设高校及建设学科，在资金和政策上加大支持力度。</w:t>
      </w:r>
    </w:p>
    <w:p w14:paraId="7223F484" w14:textId="77777777" w:rsidR="00ED7F9E" w:rsidRPr="00ED7F9E" w:rsidRDefault="00ED7F9E" w:rsidP="00ED7F9E">
      <w:pPr>
        <w:widowControl/>
        <w:shd w:val="clear" w:color="auto" w:fill="FFFFFF"/>
        <w:spacing w:line="480" w:lineRule="atLeast"/>
        <w:jc w:val="center"/>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第六章 组织实施</w:t>
      </w:r>
    </w:p>
    <w:p w14:paraId="6868523A"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第二十三条</w:t>
      </w:r>
      <w:r w:rsidRPr="00ED7F9E">
        <w:rPr>
          <w:rFonts w:ascii="微软雅黑" w:eastAsia="微软雅黑" w:hAnsi="微软雅黑" w:cs="Arial" w:hint="eastAsia"/>
          <w:color w:val="000000"/>
          <w:kern w:val="0"/>
          <w:sz w:val="24"/>
          <w:szCs w:val="24"/>
        </w:rPr>
        <w:t> 教育部、财政部、发展改革</w:t>
      </w:r>
      <w:proofErr w:type="gramStart"/>
      <w:r w:rsidRPr="00ED7F9E">
        <w:rPr>
          <w:rFonts w:ascii="微软雅黑" w:eastAsia="微软雅黑" w:hAnsi="微软雅黑" w:cs="Arial" w:hint="eastAsia"/>
          <w:color w:val="000000"/>
          <w:kern w:val="0"/>
          <w:sz w:val="24"/>
          <w:szCs w:val="24"/>
        </w:rPr>
        <w:t>委建立</w:t>
      </w:r>
      <w:proofErr w:type="gramEnd"/>
      <w:r w:rsidRPr="00ED7F9E">
        <w:rPr>
          <w:rFonts w:ascii="微软雅黑" w:eastAsia="微软雅黑" w:hAnsi="微软雅黑" w:cs="Arial" w:hint="eastAsia"/>
          <w:color w:val="000000"/>
          <w:kern w:val="0"/>
          <w:sz w:val="24"/>
          <w:szCs w:val="24"/>
        </w:rPr>
        <w:t>部际协调机制，负责规划部署、推进实施、监督管理等工作。</w:t>
      </w:r>
    </w:p>
    <w:p w14:paraId="05277907"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第二十四条</w:t>
      </w:r>
      <w:r w:rsidRPr="00ED7F9E">
        <w:rPr>
          <w:rFonts w:ascii="微软雅黑" w:eastAsia="微软雅黑" w:hAnsi="微软雅黑" w:cs="Arial" w:hint="eastAsia"/>
          <w:color w:val="000000"/>
          <w:kern w:val="0"/>
          <w:sz w:val="24"/>
          <w:szCs w:val="24"/>
        </w:rPr>
        <w:t> 省级政府应结合经济社会发展需求和基础条件，统筹推动区域内有特色高水平大学和优势学科建设，积极探索不同类型高校的一流建设之路。</w:t>
      </w:r>
    </w:p>
    <w:p w14:paraId="565AC1FB"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第二十五条</w:t>
      </w:r>
      <w:r w:rsidRPr="00ED7F9E">
        <w:rPr>
          <w:rFonts w:ascii="微软雅黑" w:eastAsia="微软雅黑" w:hAnsi="微软雅黑" w:cs="Arial" w:hint="eastAsia"/>
          <w:color w:val="000000"/>
          <w:kern w:val="0"/>
          <w:sz w:val="24"/>
          <w:szCs w:val="24"/>
        </w:rPr>
        <w:t> 建设高校要全面加强党的领导和党的建设，坚持正确办学方向，深化综合改革，破除体制机制障碍，统筹学校整体建设和学科建设，加强组织保障，营造良好建设环境。</w:t>
      </w:r>
    </w:p>
    <w:p w14:paraId="72D09C1D"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第二十六条</w:t>
      </w:r>
      <w:r w:rsidRPr="00ED7F9E">
        <w:rPr>
          <w:rFonts w:ascii="微软雅黑" w:eastAsia="微软雅黑" w:hAnsi="微软雅黑" w:cs="Arial" w:hint="eastAsia"/>
          <w:color w:val="000000"/>
          <w:kern w:val="0"/>
          <w:sz w:val="24"/>
          <w:szCs w:val="24"/>
        </w:rPr>
        <w:t> 动员各方力量积极参与世界一流大学和一流学科建设，鼓励行业企业加强与高校合作，协同建设。省级政府、行业主管部门加大对建设高校的投入，强化跟踪指导，及时发现建设中存在的问题，提出改进的意见和建议。</w:t>
      </w:r>
    </w:p>
    <w:p w14:paraId="4801EDE2"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lastRenderedPageBreak/>
        <w:t>第二十七条</w:t>
      </w:r>
      <w:r w:rsidRPr="00ED7F9E">
        <w:rPr>
          <w:rFonts w:ascii="微软雅黑" w:eastAsia="微软雅黑" w:hAnsi="微软雅黑" w:cs="Arial" w:hint="eastAsia"/>
          <w:color w:val="000000"/>
          <w:kern w:val="0"/>
          <w:sz w:val="24"/>
          <w:szCs w:val="24"/>
        </w:rPr>
        <w:t> 坚持公开透明，建立信息公开网络平台，公布建设高校的建设方案及建设学科、绩效评价情况等，强化社会监督。</w:t>
      </w:r>
    </w:p>
    <w:p w14:paraId="0D0FDFEE" w14:textId="77777777" w:rsidR="00ED7F9E" w:rsidRPr="00ED7F9E" w:rsidRDefault="00ED7F9E" w:rsidP="00ED7F9E">
      <w:pPr>
        <w:widowControl/>
        <w:shd w:val="clear" w:color="auto" w:fill="FFFFFF"/>
        <w:spacing w:line="480" w:lineRule="atLeast"/>
        <w:jc w:val="center"/>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第七章 附则</w:t>
      </w:r>
    </w:p>
    <w:p w14:paraId="350E655C"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第二十八条</w:t>
      </w:r>
      <w:r w:rsidRPr="00ED7F9E">
        <w:rPr>
          <w:rFonts w:ascii="微软雅黑" w:eastAsia="微软雅黑" w:hAnsi="微软雅黑" w:cs="Arial" w:hint="eastAsia"/>
          <w:color w:val="000000"/>
          <w:kern w:val="0"/>
          <w:sz w:val="24"/>
          <w:szCs w:val="24"/>
        </w:rPr>
        <w:t> 本办法由教育部、财政部、发展改革委负责解释。</w:t>
      </w:r>
    </w:p>
    <w:p w14:paraId="0453413C" w14:textId="77777777" w:rsidR="00ED7F9E" w:rsidRPr="00ED7F9E" w:rsidRDefault="00ED7F9E" w:rsidP="00ED7F9E">
      <w:pPr>
        <w:widowControl/>
        <w:shd w:val="clear" w:color="auto" w:fill="FFFFFF"/>
        <w:spacing w:line="480" w:lineRule="atLeast"/>
        <w:jc w:val="left"/>
        <w:rPr>
          <w:rFonts w:ascii="Arial" w:eastAsia="宋体" w:hAnsi="Arial" w:cs="Arial"/>
          <w:color w:val="000000"/>
          <w:kern w:val="0"/>
          <w:sz w:val="24"/>
          <w:szCs w:val="24"/>
        </w:rPr>
      </w:pPr>
      <w:r w:rsidRPr="00ED7F9E">
        <w:rPr>
          <w:rFonts w:ascii="微软雅黑" w:eastAsia="微软雅黑" w:hAnsi="微软雅黑" w:cs="Arial" w:hint="eastAsia"/>
          <w:b/>
          <w:bCs/>
          <w:color w:val="000000"/>
          <w:kern w:val="0"/>
          <w:sz w:val="24"/>
          <w:szCs w:val="24"/>
        </w:rPr>
        <w:t>第二十九条</w:t>
      </w:r>
      <w:r w:rsidRPr="00ED7F9E">
        <w:rPr>
          <w:rFonts w:ascii="微软雅黑" w:eastAsia="微软雅黑" w:hAnsi="微软雅黑" w:cs="Arial" w:hint="eastAsia"/>
          <w:color w:val="000000"/>
          <w:kern w:val="0"/>
          <w:sz w:val="24"/>
          <w:szCs w:val="24"/>
        </w:rPr>
        <w:t> 本办法自发布之日起实施。</w:t>
      </w:r>
    </w:p>
    <w:p w14:paraId="07B68AD7" w14:textId="77777777" w:rsidR="00957683" w:rsidRPr="00ED7F9E" w:rsidRDefault="00957683"/>
    <w:sectPr w:rsidR="00957683" w:rsidRPr="00ED7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9E"/>
    <w:rsid w:val="00957683"/>
    <w:rsid w:val="00ED7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870E7"/>
  <w15:chartTrackingRefBased/>
  <w15:docId w15:val="{E364D8CF-894D-46D6-A74B-1EC9AA8B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849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2020-10-12T06:23:00Z</dcterms:created>
  <dcterms:modified xsi:type="dcterms:W3CDTF">2020-10-12T06:24:00Z</dcterms:modified>
</cp:coreProperties>
</file>