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C17" w14:textId="77777777" w:rsidR="00943480" w:rsidRPr="00943480" w:rsidRDefault="00943480" w:rsidP="00943480">
      <w:pPr>
        <w:widowControl/>
        <w:shd w:val="clear" w:color="auto" w:fill="FFFFFF"/>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市政府办公厅关于印发南京市打造新医药与生命健康产业地标行动计划的通知</w:t>
      </w:r>
    </w:p>
    <w:p w14:paraId="78573276" w14:textId="77777777" w:rsidR="00943480" w:rsidRPr="00943480" w:rsidRDefault="00943480" w:rsidP="00943480">
      <w:pPr>
        <w:widowControl/>
        <w:shd w:val="clear" w:color="auto" w:fill="FFFFFF"/>
        <w:spacing w:line="420" w:lineRule="atLeast"/>
        <w:ind w:firstLine="480"/>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宁政办发〔</w:t>
      </w:r>
      <w:r w:rsidRPr="00943480">
        <w:rPr>
          <w:rFonts w:ascii="Arial" w:eastAsia="宋体" w:hAnsi="Arial" w:cs="Arial"/>
          <w:color w:val="333333"/>
          <w:kern w:val="0"/>
          <w:sz w:val="24"/>
          <w:szCs w:val="24"/>
        </w:rPr>
        <w:t>2020</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35</w:t>
      </w:r>
      <w:r w:rsidRPr="00943480">
        <w:rPr>
          <w:rFonts w:ascii="Arial" w:eastAsia="宋体" w:hAnsi="Arial" w:cs="Arial"/>
          <w:color w:val="333333"/>
          <w:kern w:val="0"/>
          <w:sz w:val="24"/>
          <w:szCs w:val="24"/>
        </w:rPr>
        <w:t>号</w:t>
      </w:r>
    </w:p>
    <w:p w14:paraId="4437DD57" w14:textId="77777777" w:rsidR="00943480" w:rsidRPr="00943480" w:rsidRDefault="00943480" w:rsidP="00943480">
      <w:pPr>
        <w:widowControl/>
        <w:shd w:val="clear" w:color="auto" w:fill="FFFFFF"/>
        <w:spacing w:line="420" w:lineRule="atLeast"/>
        <w:ind w:firstLine="480"/>
        <w:jc w:val="center"/>
        <w:rPr>
          <w:rFonts w:ascii="Arial" w:eastAsia="宋体" w:hAnsi="Arial" w:cs="Arial"/>
          <w:color w:val="333333"/>
          <w:kern w:val="0"/>
          <w:sz w:val="24"/>
          <w:szCs w:val="24"/>
        </w:rPr>
      </w:pPr>
    </w:p>
    <w:p w14:paraId="2E3331D7" w14:textId="77777777" w:rsidR="00943480" w:rsidRPr="00943480" w:rsidRDefault="00943480" w:rsidP="00943480">
      <w:pPr>
        <w:widowControl/>
        <w:shd w:val="clear" w:color="auto" w:fill="FFFFFF"/>
        <w:spacing w:line="420" w:lineRule="atLeast"/>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各区人民政府，市府各委办局，市各直属单位：</w:t>
      </w:r>
    </w:p>
    <w:p w14:paraId="7D0BD9C5"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经市政府同意，现将《南京市打造新医药与生命健康产业地标行动计划》印发给你们，请认真贯彻落实。</w:t>
      </w:r>
    </w:p>
    <w:p w14:paraId="4AAE6482"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p>
    <w:p w14:paraId="1F52B881"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p>
    <w:p w14:paraId="437CE835"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p>
    <w:p w14:paraId="29E50DB3" w14:textId="77777777" w:rsidR="00943480" w:rsidRPr="00943480" w:rsidRDefault="00943480" w:rsidP="00943480">
      <w:pPr>
        <w:widowControl/>
        <w:shd w:val="clear" w:color="auto" w:fill="FFFFFF"/>
        <w:spacing w:line="420" w:lineRule="atLeast"/>
        <w:ind w:firstLine="480"/>
        <w:jc w:val="right"/>
        <w:rPr>
          <w:rFonts w:ascii="Arial" w:eastAsia="宋体" w:hAnsi="Arial" w:cs="Arial"/>
          <w:color w:val="333333"/>
          <w:kern w:val="0"/>
          <w:sz w:val="24"/>
          <w:szCs w:val="24"/>
        </w:rPr>
      </w:pPr>
      <w:r w:rsidRPr="00943480">
        <w:rPr>
          <w:rFonts w:ascii="Arial" w:eastAsia="宋体" w:hAnsi="Arial" w:cs="Arial"/>
          <w:color w:val="333333"/>
          <w:kern w:val="0"/>
          <w:sz w:val="24"/>
          <w:szCs w:val="24"/>
        </w:rPr>
        <w:t>南京市人民政府办公厅</w:t>
      </w:r>
    </w:p>
    <w:p w14:paraId="534B5AB4" w14:textId="77777777" w:rsidR="00943480" w:rsidRPr="00943480" w:rsidRDefault="00943480" w:rsidP="00943480">
      <w:pPr>
        <w:widowControl/>
        <w:shd w:val="clear" w:color="auto" w:fill="FFFFFF"/>
        <w:spacing w:line="420" w:lineRule="atLeast"/>
        <w:ind w:firstLine="480"/>
        <w:jc w:val="right"/>
        <w:rPr>
          <w:rFonts w:ascii="Arial" w:eastAsia="宋体" w:hAnsi="Arial" w:cs="Arial"/>
          <w:color w:val="333333"/>
          <w:kern w:val="0"/>
          <w:sz w:val="24"/>
          <w:szCs w:val="24"/>
        </w:rPr>
      </w:pPr>
      <w:r w:rsidRPr="00943480">
        <w:rPr>
          <w:rFonts w:ascii="Arial" w:eastAsia="宋体" w:hAnsi="Arial" w:cs="Arial"/>
          <w:color w:val="333333"/>
          <w:kern w:val="0"/>
          <w:sz w:val="24"/>
          <w:szCs w:val="24"/>
        </w:rPr>
        <w:t>2020</w:t>
      </w:r>
      <w:r w:rsidRPr="00943480">
        <w:rPr>
          <w:rFonts w:ascii="Arial" w:eastAsia="宋体" w:hAnsi="Arial" w:cs="Arial"/>
          <w:color w:val="333333"/>
          <w:kern w:val="0"/>
          <w:sz w:val="24"/>
          <w:szCs w:val="24"/>
        </w:rPr>
        <w:t>年</w:t>
      </w:r>
      <w:r w:rsidRPr="00943480">
        <w:rPr>
          <w:rFonts w:ascii="Arial" w:eastAsia="宋体" w:hAnsi="Arial" w:cs="Arial"/>
          <w:color w:val="333333"/>
          <w:kern w:val="0"/>
          <w:sz w:val="24"/>
          <w:szCs w:val="24"/>
        </w:rPr>
        <w:t>8</w:t>
      </w:r>
      <w:r w:rsidRPr="00943480">
        <w:rPr>
          <w:rFonts w:ascii="Arial" w:eastAsia="宋体" w:hAnsi="Arial" w:cs="Arial"/>
          <w:color w:val="333333"/>
          <w:kern w:val="0"/>
          <w:sz w:val="24"/>
          <w:szCs w:val="24"/>
        </w:rPr>
        <w:t>月</w:t>
      </w:r>
      <w:r w:rsidRPr="00943480">
        <w:rPr>
          <w:rFonts w:ascii="Arial" w:eastAsia="宋体" w:hAnsi="Arial" w:cs="Arial"/>
          <w:color w:val="333333"/>
          <w:kern w:val="0"/>
          <w:sz w:val="24"/>
          <w:szCs w:val="24"/>
        </w:rPr>
        <w:t>12</w:t>
      </w:r>
      <w:r w:rsidRPr="00943480">
        <w:rPr>
          <w:rFonts w:ascii="Arial" w:eastAsia="宋体" w:hAnsi="Arial" w:cs="Arial"/>
          <w:color w:val="333333"/>
          <w:kern w:val="0"/>
          <w:sz w:val="24"/>
          <w:szCs w:val="24"/>
        </w:rPr>
        <w:t>日</w:t>
      </w:r>
    </w:p>
    <w:p w14:paraId="0CE37A98" w14:textId="77777777" w:rsidR="00943480" w:rsidRPr="00943480" w:rsidRDefault="00943480" w:rsidP="00943480">
      <w:pPr>
        <w:widowControl/>
        <w:shd w:val="clear" w:color="auto" w:fill="FFFFFF"/>
        <w:spacing w:line="420" w:lineRule="atLeast"/>
        <w:ind w:firstLine="480"/>
        <w:jc w:val="right"/>
        <w:rPr>
          <w:rFonts w:ascii="Arial" w:eastAsia="宋体" w:hAnsi="Arial" w:cs="Arial"/>
          <w:color w:val="333333"/>
          <w:kern w:val="0"/>
          <w:sz w:val="24"/>
          <w:szCs w:val="24"/>
        </w:rPr>
      </w:pPr>
    </w:p>
    <w:p w14:paraId="0DE2CC79" w14:textId="77777777" w:rsidR="00943480" w:rsidRPr="00943480" w:rsidRDefault="00943480" w:rsidP="00943480">
      <w:pPr>
        <w:widowControl/>
        <w:shd w:val="clear" w:color="auto" w:fill="FFFFFF"/>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南京市打造新医药与生命健康产业地标行动计划</w:t>
      </w:r>
    </w:p>
    <w:p w14:paraId="50CAFAB9" w14:textId="77777777" w:rsidR="00943480" w:rsidRPr="00943480" w:rsidRDefault="00943480" w:rsidP="00943480">
      <w:pPr>
        <w:widowControl/>
        <w:shd w:val="clear" w:color="auto" w:fill="FFFFFF"/>
        <w:spacing w:line="420" w:lineRule="atLeast"/>
        <w:jc w:val="center"/>
        <w:rPr>
          <w:rFonts w:ascii="Arial" w:eastAsia="宋体" w:hAnsi="Arial" w:cs="Arial"/>
          <w:color w:val="333333"/>
          <w:kern w:val="0"/>
          <w:sz w:val="24"/>
          <w:szCs w:val="24"/>
        </w:rPr>
      </w:pPr>
    </w:p>
    <w:p w14:paraId="160170F6"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为</w:t>
      </w:r>
      <w:proofErr w:type="gramStart"/>
      <w:r w:rsidRPr="00943480">
        <w:rPr>
          <w:rFonts w:ascii="Arial" w:eastAsia="宋体" w:hAnsi="Arial" w:cs="Arial"/>
          <w:color w:val="333333"/>
          <w:kern w:val="0"/>
          <w:sz w:val="24"/>
          <w:szCs w:val="24"/>
        </w:rPr>
        <w:t>践行</w:t>
      </w:r>
      <w:proofErr w:type="gramEnd"/>
      <w:r w:rsidRPr="00943480">
        <w:rPr>
          <w:rFonts w:ascii="Arial" w:eastAsia="宋体" w:hAnsi="Arial" w:cs="Arial"/>
          <w:color w:val="333333"/>
          <w:kern w:val="0"/>
          <w:sz w:val="24"/>
          <w:szCs w:val="24"/>
        </w:rPr>
        <w:t>新发展理念，深入贯彻习近平总书记</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把人民健康放在优先发展战略地位</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的重要指示精神，落实市委市政府</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四新行动</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计划，依托</w:t>
      </w:r>
      <w:r w:rsidRPr="00943480">
        <w:rPr>
          <w:rFonts w:ascii="Arial" w:eastAsia="宋体" w:hAnsi="Arial" w:cs="Arial"/>
          <w:color w:val="333333"/>
          <w:kern w:val="0"/>
          <w:sz w:val="24"/>
          <w:szCs w:val="24"/>
        </w:rPr>
        <w:t>“4+4+1”</w:t>
      </w:r>
      <w:r w:rsidRPr="00943480">
        <w:rPr>
          <w:rFonts w:ascii="Arial" w:eastAsia="宋体" w:hAnsi="Arial" w:cs="Arial"/>
          <w:color w:val="333333"/>
          <w:kern w:val="0"/>
          <w:sz w:val="24"/>
          <w:szCs w:val="24"/>
        </w:rPr>
        <w:t>主导产业体系，集聚全球新医药与生命健康产业资源及要素，打造全省第一、全国前三、全球有影响力的产业地标，把南京建设成全球领先的新医药创制中心、世界知名的细胞与基因产业高地、独具特色的医疗健康服务集聚地和国内一流的康复养老目的地，提出如下行动计划。</w:t>
      </w:r>
    </w:p>
    <w:p w14:paraId="50575A78"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一、总体要求和目标</w:t>
      </w:r>
    </w:p>
    <w:p w14:paraId="423683E9"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（一）总体要求</w:t>
      </w:r>
    </w:p>
    <w:p w14:paraId="406F6513"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以打造新医药与生命健康产业地标为主线，坚持融合发展，推动</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医药、医疗、</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工（医疗器械）、</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信（医疗信息）、</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养（康复养老）、</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体（体育健康）</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等领域深度融合，构筑以生命健康为主体的产业生态；坚持特色发展，聚焦创新药物、医疗器械、细胞工程与基因技术等重点领域，建设以细胞与基因产业为特色的产业高峰；坚持创新发展，建造覆盖</w:t>
      </w:r>
      <w:proofErr w:type="gramStart"/>
      <w:r w:rsidRPr="00943480">
        <w:rPr>
          <w:rFonts w:ascii="Arial" w:eastAsia="宋体" w:hAnsi="Arial" w:cs="Arial"/>
          <w:color w:val="333333"/>
          <w:kern w:val="0"/>
          <w:sz w:val="24"/>
          <w:szCs w:val="24"/>
        </w:rPr>
        <w:t>研发全</w:t>
      </w:r>
      <w:proofErr w:type="gramEnd"/>
      <w:r w:rsidRPr="00943480">
        <w:rPr>
          <w:rFonts w:ascii="Arial" w:eastAsia="宋体" w:hAnsi="Arial" w:cs="Arial"/>
          <w:color w:val="333333"/>
          <w:kern w:val="0"/>
          <w:sz w:val="24"/>
          <w:szCs w:val="24"/>
        </w:rPr>
        <w:t>链条的公共平台，构建以关键技术突破为核心的创新体系；坚持集群发展，布局优势互补、错位发展的产业集群，打造以地域标识度为导向的统一品牌；推动我市新医药与生命健康产业高端化、集聚化、国际化发展，打造国内领先、世界一流的新医药与生命健康产业城。</w:t>
      </w:r>
    </w:p>
    <w:p w14:paraId="0C85652B"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（二）主要目标</w:t>
      </w:r>
    </w:p>
    <w:p w14:paraId="7486DF3C"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lastRenderedPageBreak/>
        <w:t>到</w:t>
      </w:r>
      <w:r w:rsidRPr="00943480">
        <w:rPr>
          <w:rFonts w:ascii="Arial" w:eastAsia="宋体" w:hAnsi="Arial" w:cs="Arial"/>
          <w:color w:val="333333"/>
          <w:kern w:val="0"/>
          <w:sz w:val="24"/>
          <w:szCs w:val="24"/>
        </w:rPr>
        <w:t>2022</w:t>
      </w:r>
      <w:r w:rsidRPr="00943480">
        <w:rPr>
          <w:rFonts w:ascii="Arial" w:eastAsia="宋体" w:hAnsi="Arial" w:cs="Arial"/>
          <w:color w:val="333333"/>
          <w:kern w:val="0"/>
          <w:sz w:val="24"/>
          <w:szCs w:val="24"/>
        </w:rPr>
        <w:t>年，全市新医药与生命健康产业规模超</w:t>
      </w:r>
      <w:r w:rsidRPr="00943480">
        <w:rPr>
          <w:rFonts w:ascii="Arial" w:eastAsia="宋体" w:hAnsi="Arial" w:cs="Arial"/>
          <w:color w:val="333333"/>
          <w:kern w:val="0"/>
          <w:sz w:val="24"/>
          <w:szCs w:val="24"/>
        </w:rPr>
        <w:t>3200</w:t>
      </w:r>
      <w:r w:rsidRPr="00943480">
        <w:rPr>
          <w:rFonts w:ascii="Arial" w:eastAsia="宋体" w:hAnsi="Arial" w:cs="Arial"/>
          <w:color w:val="333333"/>
          <w:kern w:val="0"/>
          <w:sz w:val="24"/>
          <w:szCs w:val="24"/>
        </w:rPr>
        <w:t>亿元。生物医药产业创新</w:t>
      </w:r>
      <w:proofErr w:type="gramStart"/>
      <w:r w:rsidRPr="00943480">
        <w:rPr>
          <w:rFonts w:ascii="Arial" w:eastAsia="宋体" w:hAnsi="Arial" w:cs="Arial"/>
          <w:color w:val="333333"/>
          <w:kern w:val="0"/>
          <w:sz w:val="24"/>
          <w:szCs w:val="24"/>
        </w:rPr>
        <w:t>力综合</w:t>
      </w:r>
      <w:proofErr w:type="gramEnd"/>
      <w:r w:rsidRPr="00943480">
        <w:rPr>
          <w:rFonts w:ascii="Arial" w:eastAsia="宋体" w:hAnsi="Arial" w:cs="Arial"/>
          <w:color w:val="333333"/>
          <w:kern w:val="0"/>
          <w:sz w:val="24"/>
          <w:szCs w:val="24"/>
        </w:rPr>
        <w:t>排名进入全国前五。创新药申报临床累计超</w:t>
      </w:r>
      <w:r w:rsidRPr="00943480">
        <w:rPr>
          <w:rFonts w:ascii="Arial" w:eastAsia="宋体" w:hAnsi="Arial" w:cs="Arial"/>
          <w:color w:val="333333"/>
          <w:kern w:val="0"/>
          <w:sz w:val="24"/>
          <w:szCs w:val="24"/>
        </w:rPr>
        <w:t>50</w:t>
      </w:r>
      <w:r w:rsidRPr="00943480">
        <w:rPr>
          <w:rFonts w:ascii="Arial" w:eastAsia="宋体" w:hAnsi="Arial" w:cs="Arial"/>
          <w:color w:val="333333"/>
          <w:kern w:val="0"/>
          <w:sz w:val="24"/>
          <w:szCs w:val="24"/>
        </w:rPr>
        <w:t>个，销售收入超</w:t>
      </w:r>
      <w:r w:rsidRPr="00943480">
        <w:rPr>
          <w:rFonts w:ascii="Arial" w:eastAsia="宋体" w:hAnsi="Arial" w:cs="Arial"/>
          <w:color w:val="333333"/>
          <w:kern w:val="0"/>
          <w:sz w:val="24"/>
          <w:szCs w:val="24"/>
        </w:rPr>
        <w:t>50</w:t>
      </w:r>
      <w:r w:rsidRPr="00943480">
        <w:rPr>
          <w:rFonts w:ascii="Arial" w:eastAsia="宋体" w:hAnsi="Arial" w:cs="Arial"/>
          <w:color w:val="333333"/>
          <w:kern w:val="0"/>
          <w:sz w:val="24"/>
          <w:szCs w:val="24"/>
        </w:rPr>
        <w:t>亿元的企业达到</w:t>
      </w:r>
      <w:r w:rsidRPr="00943480">
        <w:rPr>
          <w:rFonts w:ascii="Arial" w:eastAsia="宋体" w:hAnsi="Arial" w:cs="Arial"/>
          <w:color w:val="333333"/>
          <w:kern w:val="0"/>
          <w:sz w:val="24"/>
          <w:szCs w:val="24"/>
        </w:rPr>
        <w:t>5</w:t>
      </w:r>
      <w:r w:rsidRPr="00943480">
        <w:rPr>
          <w:rFonts w:ascii="Arial" w:eastAsia="宋体" w:hAnsi="Arial" w:cs="Arial"/>
          <w:color w:val="333333"/>
          <w:kern w:val="0"/>
          <w:sz w:val="24"/>
          <w:szCs w:val="24"/>
        </w:rPr>
        <w:t>家，细胞与基因产业发展水平显著提升，医疗、</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养、</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体等健康产业快速发展，新医药与生命健康产业成为推动全市经济社会持续发展的重要力量。</w:t>
      </w:r>
    </w:p>
    <w:p w14:paraId="752EFEF9"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到</w:t>
      </w:r>
      <w:r w:rsidRPr="00943480">
        <w:rPr>
          <w:rFonts w:ascii="Arial" w:eastAsia="宋体" w:hAnsi="Arial" w:cs="Arial"/>
          <w:color w:val="333333"/>
          <w:kern w:val="0"/>
          <w:sz w:val="24"/>
          <w:szCs w:val="24"/>
        </w:rPr>
        <w:t>2025</w:t>
      </w:r>
      <w:r w:rsidRPr="00943480">
        <w:rPr>
          <w:rFonts w:ascii="Arial" w:eastAsia="宋体" w:hAnsi="Arial" w:cs="Arial"/>
          <w:color w:val="333333"/>
          <w:kern w:val="0"/>
          <w:sz w:val="24"/>
          <w:szCs w:val="24"/>
        </w:rPr>
        <w:t>年，全市新医药与生命健康产业规模超</w:t>
      </w:r>
      <w:r w:rsidRPr="00943480">
        <w:rPr>
          <w:rFonts w:ascii="Arial" w:eastAsia="宋体" w:hAnsi="Arial" w:cs="Arial"/>
          <w:color w:val="333333"/>
          <w:kern w:val="0"/>
          <w:sz w:val="24"/>
          <w:szCs w:val="24"/>
        </w:rPr>
        <w:t>5400</w:t>
      </w:r>
      <w:r w:rsidRPr="00943480">
        <w:rPr>
          <w:rFonts w:ascii="Arial" w:eastAsia="宋体" w:hAnsi="Arial" w:cs="Arial"/>
          <w:color w:val="333333"/>
          <w:kern w:val="0"/>
          <w:sz w:val="24"/>
          <w:szCs w:val="24"/>
        </w:rPr>
        <w:t>亿元。生物医药产业创新</w:t>
      </w:r>
      <w:proofErr w:type="gramStart"/>
      <w:r w:rsidRPr="00943480">
        <w:rPr>
          <w:rFonts w:ascii="Arial" w:eastAsia="宋体" w:hAnsi="Arial" w:cs="Arial"/>
          <w:color w:val="333333"/>
          <w:kern w:val="0"/>
          <w:sz w:val="24"/>
          <w:szCs w:val="24"/>
        </w:rPr>
        <w:t>力综合</w:t>
      </w:r>
      <w:proofErr w:type="gramEnd"/>
      <w:r w:rsidRPr="00943480">
        <w:rPr>
          <w:rFonts w:ascii="Arial" w:eastAsia="宋体" w:hAnsi="Arial" w:cs="Arial"/>
          <w:color w:val="333333"/>
          <w:kern w:val="0"/>
          <w:sz w:val="24"/>
          <w:szCs w:val="24"/>
        </w:rPr>
        <w:t>排名进入全国前三。创新药申报临床累计超</w:t>
      </w:r>
      <w:r w:rsidRPr="00943480">
        <w:rPr>
          <w:rFonts w:ascii="Arial" w:eastAsia="宋体" w:hAnsi="Arial" w:cs="Arial"/>
          <w:color w:val="333333"/>
          <w:kern w:val="0"/>
          <w:sz w:val="24"/>
          <w:szCs w:val="24"/>
        </w:rPr>
        <w:t>100</w:t>
      </w:r>
      <w:r w:rsidRPr="00943480">
        <w:rPr>
          <w:rFonts w:ascii="Arial" w:eastAsia="宋体" w:hAnsi="Arial" w:cs="Arial"/>
          <w:color w:val="333333"/>
          <w:kern w:val="0"/>
          <w:sz w:val="24"/>
          <w:szCs w:val="24"/>
        </w:rPr>
        <w:t>个，销售收入超</w:t>
      </w:r>
      <w:r w:rsidRPr="00943480">
        <w:rPr>
          <w:rFonts w:ascii="Arial" w:eastAsia="宋体" w:hAnsi="Arial" w:cs="Arial"/>
          <w:color w:val="333333"/>
          <w:kern w:val="0"/>
          <w:sz w:val="24"/>
          <w:szCs w:val="24"/>
        </w:rPr>
        <w:t>100</w:t>
      </w:r>
      <w:r w:rsidRPr="00943480">
        <w:rPr>
          <w:rFonts w:ascii="Arial" w:eastAsia="宋体" w:hAnsi="Arial" w:cs="Arial"/>
          <w:color w:val="333333"/>
          <w:kern w:val="0"/>
          <w:sz w:val="24"/>
          <w:szCs w:val="24"/>
        </w:rPr>
        <w:t>亿元的企业达到</w:t>
      </w:r>
      <w:r w:rsidRPr="00943480">
        <w:rPr>
          <w:rFonts w:ascii="Arial" w:eastAsia="宋体" w:hAnsi="Arial" w:cs="Arial"/>
          <w:color w:val="333333"/>
          <w:kern w:val="0"/>
          <w:sz w:val="24"/>
          <w:szCs w:val="24"/>
        </w:rPr>
        <w:t>5</w:t>
      </w:r>
      <w:r w:rsidRPr="00943480">
        <w:rPr>
          <w:rFonts w:ascii="Arial" w:eastAsia="宋体" w:hAnsi="Arial" w:cs="Arial"/>
          <w:color w:val="333333"/>
          <w:kern w:val="0"/>
          <w:sz w:val="24"/>
          <w:szCs w:val="24"/>
        </w:rPr>
        <w:t>家、超</w:t>
      </w:r>
      <w:r w:rsidRPr="00943480">
        <w:rPr>
          <w:rFonts w:ascii="Arial" w:eastAsia="宋体" w:hAnsi="Arial" w:cs="Arial"/>
          <w:color w:val="333333"/>
          <w:kern w:val="0"/>
          <w:sz w:val="24"/>
          <w:szCs w:val="24"/>
        </w:rPr>
        <w:t>50</w:t>
      </w:r>
      <w:r w:rsidRPr="00943480">
        <w:rPr>
          <w:rFonts w:ascii="Arial" w:eastAsia="宋体" w:hAnsi="Arial" w:cs="Arial"/>
          <w:color w:val="333333"/>
          <w:kern w:val="0"/>
          <w:sz w:val="24"/>
          <w:szCs w:val="24"/>
        </w:rPr>
        <w:t>亿元企业达到</w:t>
      </w:r>
      <w:r w:rsidRPr="00943480">
        <w:rPr>
          <w:rFonts w:ascii="Arial" w:eastAsia="宋体" w:hAnsi="Arial" w:cs="Arial"/>
          <w:color w:val="333333"/>
          <w:kern w:val="0"/>
          <w:sz w:val="24"/>
          <w:szCs w:val="24"/>
        </w:rPr>
        <w:t>10</w:t>
      </w:r>
      <w:r w:rsidRPr="00943480">
        <w:rPr>
          <w:rFonts w:ascii="Arial" w:eastAsia="宋体" w:hAnsi="Arial" w:cs="Arial"/>
          <w:color w:val="333333"/>
          <w:kern w:val="0"/>
          <w:sz w:val="24"/>
          <w:szCs w:val="24"/>
        </w:rPr>
        <w:t>家，细胞与基因产业国内领先，形成一批国内外著名的生物医药与健康产业名企、名品、名园（区）、名师（</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）、名校（院、所），南京市新医药与生命健康产业跻身全国第一方阵。</w:t>
      </w:r>
    </w:p>
    <w:p w14:paraId="26F8922A"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二、主攻方向</w:t>
      </w:r>
    </w:p>
    <w:p w14:paraId="290C2AE7"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一）医药。发展细胞与基因产业，重点发展细胞存储、细胞技术研发、免疫细胞治疗、干细胞治疗，基因测序、基因编辑、基因工程药物、基因治疗、基因芯片、基因大数据等；发展生物制药，突破创新型生物治疗产品制备及生物技术药创制关键核心技术，开发核酸、抗体、疫苗等新型生物药物，重点引进培育高质量的长效重组蛋白及多肽类药物项目，加快产业化进程并快速形成规模；发展创新化学药，突破先导化合物优化设计、药物晶型研究、药物新制剂等关键技术瓶颈，加强基于新结构、新靶点、新机制的原研药研发，上市一批创新药、改良型新药；发展现代中药，加快疗效突出的中药创新药和具有临床应用优势的中药改良型新药研发。（责任单位：市工信局、市科技局、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保局、市商务局、江北新区、各相关区）</w:t>
      </w:r>
    </w:p>
    <w:p w14:paraId="52D6AAFF"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（二）</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工。推进医学影像设备、手术实时成像、医用机器人、家庭医疗监测和健康装备、可穿戴设备等高端医疗器械开发；推动全自动生化分析仪、蛋白免疫分析仪、高通量基因测序仪、五分类血细胞分析仪等体外诊断设备；大力发展</w:t>
      </w:r>
      <w:r w:rsidRPr="00943480">
        <w:rPr>
          <w:rFonts w:ascii="Arial" w:eastAsia="宋体" w:hAnsi="Arial" w:cs="Arial"/>
          <w:color w:val="333333"/>
          <w:kern w:val="0"/>
          <w:sz w:val="24"/>
          <w:szCs w:val="24"/>
        </w:rPr>
        <w:t>POCT</w:t>
      </w:r>
      <w:r w:rsidRPr="00943480">
        <w:rPr>
          <w:rFonts w:ascii="Arial" w:eastAsia="宋体" w:hAnsi="Arial" w:cs="Arial"/>
          <w:color w:val="333333"/>
          <w:kern w:val="0"/>
          <w:sz w:val="24"/>
          <w:szCs w:val="24"/>
        </w:rPr>
        <w:t>、分子诊断等</w:t>
      </w:r>
      <w:r w:rsidRPr="00943480">
        <w:rPr>
          <w:rFonts w:ascii="Arial" w:eastAsia="宋体" w:hAnsi="Arial" w:cs="Arial"/>
          <w:color w:val="333333"/>
          <w:kern w:val="0"/>
          <w:sz w:val="24"/>
          <w:szCs w:val="24"/>
        </w:rPr>
        <w:t>IVD</w:t>
      </w:r>
      <w:r w:rsidRPr="00943480">
        <w:rPr>
          <w:rFonts w:ascii="Arial" w:eastAsia="宋体" w:hAnsi="Arial" w:cs="Arial"/>
          <w:color w:val="333333"/>
          <w:kern w:val="0"/>
          <w:sz w:val="24"/>
          <w:szCs w:val="24"/>
        </w:rPr>
        <w:t>产业化；发展组织工程材料、高端植介入产品、影像导航辅助治疗系统、激光治疗设备、新型医用敷料，实现医疗器械产业整体向创新驱动发展的转型。（责任单位：市工信局、市科技局、市卫健委、市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保局、江北新区、高淳区等各相关区）</w:t>
      </w:r>
    </w:p>
    <w:p w14:paraId="106AD2A1"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（三）</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信。发展医疗信息产业，建设全民健康信息平台，加大</w:t>
      </w:r>
      <w:proofErr w:type="gramStart"/>
      <w:r w:rsidRPr="00943480">
        <w:rPr>
          <w:rFonts w:ascii="Arial" w:eastAsia="宋体" w:hAnsi="Arial" w:cs="Arial"/>
          <w:color w:val="333333"/>
          <w:kern w:val="0"/>
          <w:sz w:val="24"/>
          <w:szCs w:val="24"/>
        </w:rPr>
        <w:t>大</w:t>
      </w:r>
      <w:proofErr w:type="gramEnd"/>
      <w:r w:rsidRPr="00943480">
        <w:rPr>
          <w:rFonts w:ascii="Arial" w:eastAsia="宋体" w:hAnsi="Arial" w:cs="Arial"/>
          <w:color w:val="333333"/>
          <w:kern w:val="0"/>
          <w:sz w:val="24"/>
          <w:szCs w:val="24"/>
        </w:rPr>
        <w:t>数据在临床</w:t>
      </w:r>
      <w:proofErr w:type="gramStart"/>
      <w:r w:rsidRPr="00943480">
        <w:rPr>
          <w:rFonts w:ascii="Arial" w:eastAsia="宋体" w:hAnsi="Arial" w:cs="Arial"/>
          <w:color w:val="333333"/>
          <w:kern w:val="0"/>
          <w:sz w:val="24"/>
          <w:szCs w:val="24"/>
        </w:rPr>
        <w:t>上科研</w:t>
      </w:r>
      <w:proofErr w:type="gramEnd"/>
      <w:r w:rsidRPr="00943480">
        <w:rPr>
          <w:rFonts w:ascii="Arial" w:eastAsia="宋体" w:hAnsi="Arial" w:cs="Arial"/>
          <w:color w:val="333333"/>
          <w:kern w:val="0"/>
          <w:sz w:val="24"/>
          <w:szCs w:val="24"/>
        </w:rPr>
        <w:t>上应用，加快实现医疗健康信息互通共享。发展</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互联网</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医疗健康</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，支持依托实体医疗机构独立设置互联网医院，规范开展互联网诊疗活动，积极发展互联网健康咨询和健康管理服务，推动线上线下服务一体化。发挥南</w:t>
      </w:r>
      <w:r w:rsidRPr="00943480">
        <w:rPr>
          <w:rFonts w:ascii="Arial" w:eastAsia="宋体" w:hAnsi="Arial" w:cs="Arial"/>
          <w:color w:val="333333"/>
          <w:kern w:val="0"/>
          <w:sz w:val="24"/>
          <w:szCs w:val="24"/>
        </w:rPr>
        <w:lastRenderedPageBreak/>
        <w:t>京数字经济及人工智能产业优势，推进生物技术、信息技术与人工智能协同攻关，突破生物大数据解析、编程细胞工厂和合成生物技术等前沿技术，加快人工智能在医学影像辅助判读、临床辅助诊断、多维医疗数据分析、疾病风险预测与诊断、药物分子计算机辅助设计等方面的应用。（责任单位：市工信局、市科技局、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保局、江北新区、雨花台区等各相关区）</w:t>
      </w:r>
    </w:p>
    <w:p w14:paraId="6D1F23BB"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四）医疗。发展高端前沿医疗，聚焦高发病率、高致残率和高死亡率的重大疾病，整合南京优势医学科技研究力量，联合开展关键技术攻关。加强临床研究，建立高质量的临床研究数据库、生物样本库、基因库，打造一批高水平的特色专科、临床医学中心，提供先进医疗技术服务。发展细胞与基因治疗、液体活检技术，推进新型个体化生物治疗产品的标准化规范化应用。发展卫生健康服务新业态，积极引导医疗美容、口腔正畸、健康体检、辅助生殖、</w:t>
      </w:r>
      <w:proofErr w:type="gramStart"/>
      <w:r w:rsidRPr="00943480">
        <w:rPr>
          <w:rFonts w:ascii="Arial" w:eastAsia="宋体" w:hAnsi="Arial" w:cs="Arial"/>
          <w:color w:val="333333"/>
          <w:kern w:val="0"/>
          <w:sz w:val="24"/>
          <w:szCs w:val="24"/>
        </w:rPr>
        <w:t>安宁疗护等</w:t>
      </w:r>
      <w:proofErr w:type="gramEnd"/>
      <w:r w:rsidRPr="00943480">
        <w:rPr>
          <w:rFonts w:ascii="Arial" w:eastAsia="宋体" w:hAnsi="Arial" w:cs="Arial"/>
          <w:color w:val="333333"/>
          <w:kern w:val="0"/>
          <w:sz w:val="24"/>
          <w:szCs w:val="24"/>
        </w:rPr>
        <w:t>非基本医疗服务市场发展；支持开展居民基因检测服务，引导健康体检机构向健康管理机构转型发展。（责任单位：市卫健委、市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保局、市工信局、市科技局、市市场监管局、江北新区、鼓楼区、秦淮区等各相关区）</w:t>
      </w:r>
    </w:p>
    <w:p w14:paraId="5EAAB471"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（五）</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养。加快养老产业发展，培育一批社会化、综合性养老服务机构，完善老龄健康支持体系，推进老年用品的研发与制造，开发适合老年等特殊人群的理财、信贷、保险等健康金融服务新产品，支持新型健康保险供给，支持健康保险与健康服务融合发展。推动康复领域发展，支持企业开发功能代偿类、康复训练类康复辅助器具和具有柔性控制、多信息融合、运动信息解码、外部环境感知等新技术的智能康复辅助器具等。加快发展养生保健，针对亚健康、慢性病、过敏、代谢功能紊乱等市场需求，研发生产保健食品、功能性食品、特殊用途化妆品、新型保健品等。（责任单位：市民政局、市卫健委、市工信局、市科技局、市市场监管局、江北新区、溧水区等各相关区）</w:t>
      </w:r>
    </w:p>
    <w:p w14:paraId="55D94876"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（六）</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体。支持社会力量举办一大批以科学健身为核心的体</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结合健康管理机构，围绕慢性病预防、运动康复、健康促进等目标，推广体</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结合服务。制定和实施以户外运动为重点的发展规划，支持消费引领性健身休闲项目发展。支持体育及健身用品的研发和产业化，推进体育健康活动与制造业联动。（责任单位：市体育局、市卫健委、市工信局、市科技局、市市场监管局、江北新区、溧水区等各相关区）</w:t>
      </w:r>
    </w:p>
    <w:p w14:paraId="0BBDC8E9"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三、主要任务</w:t>
      </w:r>
    </w:p>
    <w:p w14:paraId="0AD157A8"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（一）优化产业规划布局</w:t>
      </w:r>
    </w:p>
    <w:p w14:paraId="1C1C86AC"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1</w:t>
      </w:r>
      <w:r w:rsidRPr="00943480">
        <w:rPr>
          <w:rFonts w:ascii="Arial" w:eastAsia="宋体" w:hAnsi="Arial" w:cs="Arial"/>
          <w:color w:val="333333"/>
          <w:kern w:val="0"/>
          <w:sz w:val="24"/>
          <w:szCs w:val="24"/>
        </w:rPr>
        <w:t>﹒建设全球领先的新医药创制中心</w:t>
      </w:r>
    </w:p>
    <w:p w14:paraId="0D6748A2"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lastRenderedPageBreak/>
        <w:t>——</w:t>
      </w:r>
      <w:r w:rsidRPr="00943480">
        <w:rPr>
          <w:rFonts w:ascii="Arial" w:eastAsia="宋体" w:hAnsi="Arial" w:cs="Arial"/>
          <w:color w:val="333333"/>
          <w:kern w:val="0"/>
          <w:sz w:val="24"/>
          <w:szCs w:val="24"/>
        </w:rPr>
        <w:t>基因细胞工程基地。依托江北新区，抢抓江苏自贸区南京片区的建设机遇，重点打造基因公共服务平台，构建南京综合细胞资源库与细胞制备中心，搭建新药检测公共服务平台、生物医药</w:t>
      </w:r>
      <w:r w:rsidRPr="00943480">
        <w:rPr>
          <w:rFonts w:ascii="Arial" w:eastAsia="宋体" w:hAnsi="Arial" w:cs="Arial"/>
          <w:color w:val="333333"/>
          <w:kern w:val="0"/>
          <w:sz w:val="24"/>
          <w:szCs w:val="24"/>
        </w:rPr>
        <w:t>CDMO</w:t>
      </w:r>
      <w:r w:rsidRPr="00943480">
        <w:rPr>
          <w:rFonts w:ascii="Arial" w:eastAsia="宋体" w:hAnsi="Arial" w:cs="Arial"/>
          <w:color w:val="333333"/>
          <w:kern w:val="0"/>
          <w:sz w:val="24"/>
          <w:szCs w:val="24"/>
        </w:rPr>
        <w:t>服务平台，布局基因检测、基因编辑、抗体药物、免疫细胞治疗、靶</w:t>
      </w:r>
      <w:proofErr w:type="gramStart"/>
      <w:r w:rsidRPr="00943480">
        <w:rPr>
          <w:rFonts w:ascii="Arial" w:eastAsia="宋体" w:hAnsi="Arial" w:cs="Arial"/>
          <w:color w:val="333333"/>
          <w:kern w:val="0"/>
          <w:sz w:val="24"/>
          <w:szCs w:val="24"/>
        </w:rPr>
        <w:t>向药物</w:t>
      </w:r>
      <w:proofErr w:type="gramEnd"/>
      <w:r w:rsidRPr="00943480">
        <w:rPr>
          <w:rFonts w:ascii="Arial" w:eastAsia="宋体" w:hAnsi="Arial" w:cs="Arial"/>
          <w:color w:val="333333"/>
          <w:kern w:val="0"/>
          <w:sz w:val="24"/>
          <w:szCs w:val="24"/>
        </w:rPr>
        <w:t>技术领域。以鼓楼医院江北国际医院为主体，建设辐射全国的临床医学研究中心，加快国内外具有影响力的基因、细胞、新药研发生产企业集聚，打造国内最具影响力基因细胞工程基地。（责任单位：江北新区、市规划资源局、市工信局、市科技局、市市场监管局、市生态环境局、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w:t>
      </w:r>
    </w:p>
    <w:p w14:paraId="4E5A21A7"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细胞工程基地。依托江宁区，充分发挥中国药科大学、南京医科大学等高校创新资源及人才优势，以校地融合发展为特色，加快建设从细胞存储、核心试剂和细胞培养</w:t>
      </w:r>
      <w:proofErr w:type="gramStart"/>
      <w:r w:rsidRPr="00943480">
        <w:rPr>
          <w:rFonts w:ascii="Arial" w:eastAsia="宋体" w:hAnsi="Arial" w:cs="Arial"/>
          <w:color w:val="333333"/>
          <w:kern w:val="0"/>
          <w:sz w:val="24"/>
          <w:szCs w:val="24"/>
        </w:rPr>
        <w:t>基产品</w:t>
      </w:r>
      <w:proofErr w:type="gramEnd"/>
      <w:r w:rsidRPr="00943480">
        <w:rPr>
          <w:rFonts w:ascii="Arial" w:eastAsia="宋体" w:hAnsi="Arial" w:cs="Arial"/>
          <w:color w:val="333333"/>
          <w:kern w:val="0"/>
          <w:sz w:val="24"/>
          <w:szCs w:val="24"/>
        </w:rPr>
        <w:t>开发、临床研究到实际应用全产业链条。打通细胞治疗上下游产业链，形成产业闭环，实现企业与企业、企业与医院、企业与科研机构的双向合作，推动细胞治疗快速产业化。（责任单位：江宁区、市规划资源局、市工信局、市科技局、市市场监管局、市生态环境局、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w:t>
      </w:r>
    </w:p>
    <w:p w14:paraId="72C9E359"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新药研制基地。依托栖霞区和南京经济技术开发区，充分发挥南京大学、南京中医药大学创新资源及人才优势，实施产学研创新协同发展，打造公共技术平台，推进栖霞区和经济开发区产业协同发展，形成创新药研制高地。（责任单位：栖霞区、南京经济技术开发区、市规划资源局、市工信局、市科技局、市市场监管局、市生态环境局、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w:t>
      </w:r>
    </w:p>
    <w:p w14:paraId="4623CBD0"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医学工程基地。依托高淳区，建设省医疗器械检验所高淳分所、医疗器械创新服务中心、国家药监局南方医药经济研究所大数据监测中心等</w:t>
      </w:r>
      <w:r w:rsidRPr="00943480">
        <w:rPr>
          <w:rFonts w:ascii="Arial" w:eastAsia="宋体" w:hAnsi="Arial" w:cs="Arial"/>
          <w:color w:val="333333"/>
          <w:kern w:val="0"/>
          <w:sz w:val="24"/>
          <w:szCs w:val="24"/>
        </w:rPr>
        <w:t>7</w:t>
      </w:r>
      <w:r w:rsidRPr="00943480">
        <w:rPr>
          <w:rFonts w:ascii="Arial" w:eastAsia="宋体" w:hAnsi="Arial" w:cs="Arial"/>
          <w:color w:val="333333"/>
          <w:kern w:val="0"/>
          <w:sz w:val="24"/>
          <w:szCs w:val="24"/>
        </w:rPr>
        <w:t>个平台，重点发展体外诊断产品、高值耗材、康复器具等具有前瞻性、高附加值的医疗器械以及公共卫生应急防护物资，打造全市创新型医学工程基地。（责任单位：高淳区、市规划资源局、市工信局、市科技局、市市场监管局、市生态环境局、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w:t>
      </w:r>
    </w:p>
    <w:p w14:paraId="664EB56A"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核心原料基地。依托江北新区新材料科技园，开展原料药、生物医用材料、高端试剂等的研发与生产，建成以特色原料药生产为核心，大宗原料药生产为辅助的工业体系，并为生物医药、生物材料产业提供研发孵化载体，满足我市重点医药企业创新药、</w:t>
      </w:r>
      <w:proofErr w:type="gramStart"/>
      <w:r w:rsidRPr="00943480">
        <w:rPr>
          <w:rFonts w:ascii="Arial" w:eastAsia="宋体" w:hAnsi="Arial" w:cs="Arial"/>
          <w:color w:val="333333"/>
          <w:kern w:val="0"/>
          <w:sz w:val="24"/>
          <w:szCs w:val="24"/>
        </w:rPr>
        <w:t>首仿药</w:t>
      </w:r>
      <w:proofErr w:type="gramEnd"/>
      <w:r w:rsidRPr="00943480">
        <w:rPr>
          <w:rFonts w:ascii="Arial" w:eastAsia="宋体" w:hAnsi="Arial" w:cs="Arial"/>
          <w:color w:val="333333"/>
          <w:kern w:val="0"/>
          <w:sz w:val="24"/>
          <w:szCs w:val="24"/>
        </w:rPr>
        <w:t>等原料药需求；依托新工</w:t>
      </w:r>
      <w:proofErr w:type="gramStart"/>
      <w:r w:rsidRPr="00943480">
        <w:rPr>
          <w:rFonts w:ascii="Arial" w:eastAsia="宋体" w:hAnsi="Arial" w:cs="Arial"/>
          <w:color w:val="333333"/>
          <w:kern w:val="0"/>
          <w:sz w:val="24"/>
          <w:szCs w:val="24"/>
        </w:rPr>
        <w:t>集团泰融生物</w:t>
      </w:r>
      <w:proofErr w:type="gramEnd"/>
      <w:r w:rsidRPr="00943480">
        <w:rPr>
          <w:rFonts w:ascii="Arial" w:eastAsia="宋体" w:hAnsi="Arial" w:cs="Arial"/>
          <w:color w:val="333333"/>
          <w:kern w:val="0"/>
          <w:sz w:val="24"/>
          <w:szCs w:val="24"/>
        </w:rPr>
        <w:t>试剂产业集聚区重点打造抗体药物、重组蛋白药物、诊断试剂等上游关键原材料（酶、单抗、细胞因子等）基地。（责任单位：江北新区、新工集团、市规划</w:t>
      </w:r>
      <w:r w:rsidRPr="00943480">
        <w:rPr>
          <w:rFonts w:ascii="Arial" w:eastAsia="宋体" w:hAnsi="Arial" w:cs="Arial"/>
          <w:color w:val="333333"/>
          <w:kern w:val="0"/>
          <w:sz w:val="24"/>
          <w:szCs w:val="24"/>
        </w:rPr>
        <w:lastRenderedPageBreak/>
        <w:t>资源局、市工信局、市科技局、市市场监管局、市生态环境局、市卫健委、市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w:t>
      </w:r>
    </w:p>
    <w:p w14:paraId="74928EF4"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公共卫生物资生产基地。依托高淳区和溧水区，建设公共卫生应急物资生产体系，支持应急医疗防护物资生产，充分发挥大数据、人工智能、柔性制造的技术优势，支持企业发展应急防护类、家用健康类等基础医疗用品，支持企业研发生产应对应急公共卫生事件的医疗防护设备、快检产品等，推动柔性制造升级，积极转产、扩产相关防护设备。（责任单位：高淳区、溧水区、</w:t>
      </w:r>
      <w:proofErr w:type="gramStart"/>
      <w:r w:rsidRPr="00943480">
        <w:rPr>
          <w:rFonts w:ascii="Arial" w:eastAsia="宋体" w:hAnsi="Arial" w:cs="Arial"/>
          <w:color w:val="333333"/>
          <w:kern w:val="0"/>
          <w:sz w:val="24"/>
          <w:szCs w:val="24"/>
        </w:rPr>
        <w:t>市发改委</w:t>
      </w:r>
      <w:proofErr w:type="gramEnd"/>
      <w:r w:rsidRPr="00943480">
        <w:rPr>
          <w:rFonts w:ascii="Arial" w:eastAsia="宋体" w:hAnsi="Arial" w:cs="Arial"/>
          <w:color w:val="333333"/>
          <w:kern w:val="0"/>
          <w:sz w:val="24"/>
          <w:szCs w:val="24"/>
        </w:rPr>
        <w:t>、市科技局、市工信局、市卫健委、市市场监管局、市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保局、市商务局）</w:t>
      </w:r>
    </w:p>
    <w:p w14:paraId="3583129D"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医疗信息应用基地。依托国家健康</w:t>
      </w:r>
      <w:proofErr w:type="gramStart"/>
      <w:r w:rsidRPr="00943480">
        <w:rPr>
          <w:rFonts w:ascii="Arial" w:eastAsia="宋体" w:hAnsi="Arial" w:cs="Arial"/>
          <w:color w:val="333333"/>
          <w:kern w:val="0"/>
          <w:sz w:val="24"/>
          <w:szCs w:val="24"/>
        </w:rPr>
        <w:t>医疗大</w:t>
      </w:r>
      <w:proofErr w:type="gramEnd"/>
      <w:r w:rsidRPr="00943480">
        <w:rPr>
          <w:rFonts w:ascii="Arial" w:eastAsia="宋体" w:hAnsi="Arial" w:cs="Arial"/>
          <w:color w:val="333333"/>
          <w:kern w:val="0"/>
          <w:sz w:val="24"/>
          <w:szCs w:val="24"/>
        </w:rPr>
        <w:t>数据（东部）中心，建设以居民电子健康档案、电子病历等为核心的基础数据库，与体质测定、健康体检以及其他外部数据源加强对接，实现全市乃至全省全生命周期的健康信息大数据管理，并推进大数据安全共享，深化健康大数据在医学科研、临床诊疗、产品研发等方面应用。（责任单位：江北新区、市工信局、市科技局、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保局、各相关区）</w:t>
      </w:r>
    </w:p>
    <w:p w14:paraId="006DE123"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2</w:t>
      </w:r>
      <w:r w:rsidRPr="00943480">
        <w:rPr>
          <w:rFonts w:ascii="Arial" w:eastAsia="宋体" w:hAnsi="Arial" w:cs="Arial"/>
          <w:color w:val="333333"/>
          <w:kern w:val="0"/>
          <w:sz w:val="24"/>
          <w:szCs w:val="24"/>
        </w:rPr>
        <w:t>﹒建设独具特色的医疗健康服务集聚地</w:t>
      </w:r>
    </w:p>
    <w:p w14:paraId="1262B5DD"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精准医疗中心。依托江北新区国际生命健康城，以鼓楼医院江北国际分院为主要载体，瞄准妇儿、眼科、老年医学、肿瘤等专科领域，引进</w:t>
      </w:r>
      <w:r w:rsidRPr="00943480">
        <w:rPr>
          <w:rFonts w:ascii="Arial" w:eastAsia="宋体" w:hAnsi="Arial" w:cs="Arial"/>
          <w:color w:val="333333"/>
          <w:kern w:val="0"/>
          <w:sz w:val="24"/>
          <w:szCs w:val="24"/>
        </w:rPr>
        <w:t>Joslin</w:t>
      </w:r>
      <w:r w:rsidRPr="00943480">
        <w:rPr>
          <w:rFonts w:ascii="Arial" w:eastAsia="宋体" w:hAnsi="Arial" w:cs="Arial"/>
          <w:color w:val="333333"/>
          <w:kern w:val="0"/>
          <w:sz w:val="24"/>
          <w:szCs w:val="24"/>
        </w:rPr>
        <w:t>糖尿病中心建设、中德老年病院等国际高水平专科医院，打造综合诊疗与疑难杂症治疗的新高地。引入医生集团、共享医疗、整合医学等新型医疗服务模式，聚合各类优质医疗资源，建设全省医疗服务高地。推进</w:t>
      </w:r>
      <w:r w:rsidRPr="00943480">
        <w:rPr>
          <w:rFonts w:ascii="Arial" w:eastAsia="宋体" w:hAnsi="Arial" w:cs="Arial"/>
          <w:color w:val="333333"/>
          <w:kern w:val="0"/>
          <w:sz w:val="24"/>
          <w:szCs w:val="24"/>
        </w:rPr>
        <w:t>“</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教研康养</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协同发展，引入国际一流养老运营机构，推进社区养老和居家养老社区建设，形成有特色、专业化的高端养老体验示范</w:t>
      </w:r>
      <w:proofErr w:type="gramStart"/>
      <w:r w:rsidRPr="00943480">
        <w:rPr>
          <w:rFonts w:ascii="Arial" w:eastAsia="宋体" w:hAnsi="Arial" w:cs="Arial"/>
          <w:color w:val="333333"/>
          <w:kern w:val="0"/>
          <w:sz w:val="24"/>
          <w:szCs w:val="24"/>
        </w:rPr>
        <w:t>”</w:t>
      </w:r>
      <w:proofErr w:type="gramEnd"/>
      <w:r w:rsidRPr="00943480">
        <w:rPr>
          <w:rFonts w:ascii="Arial" w:eastAsia="宋体" w:hAnsi="Arial" w:cs="Arial"/>
          <w:color w:val="333333"/>
          <w:kern w:val="0"/>
          <w:sz w:val="24"/>
          <w:szCs w:val="24"/>
        </w:rPr>
        <w:t>。以学科国际合作与共建为契机，打造前沿医疗服务中心、国际专科服务中心、综合健康服务中心，发展覆盖全生命周期的高质量健康管理体系。支持地方国有集团以资本化方式参与医疗（</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联体）、</w:t>
      </w:r>
      <w:proofErr w:type="gramStart"/>
      <w:r w:rsidRPr="00943480">
        <w:rPr>
          <w:rFonts w:ascii="Arial" w:eastAsia="宋体" w:hAnsi="Arial" w:cs="Arial"/>
          <w:color w:val="333333"/>
          <w:kern w:val="0"/>
          <w:sz w:val="24"/>
          <w:szCs w:val="24"/>
        </w:rPr>
        <w:t>医康养</w:t>
      </w:r>
      <w:proofErr w:type="gramEnd"/>
      <w:r w:rsidRPr="00943480">
        <w:rPr>
          <w:rFonts w:ascii="Arial" w:eastAsia="宋体" w:hAnsi="Arial" w:cs="Arial"/>
          <w:color w:val="333333"/>
          <w:kern w:val="0"/>
          <w:sz w:val="24"/>
          <w:szCs w:val="24"/>
        </w:rPr>
        <w:t>平台的建设和第三方检验中心的建设。（责任单位：江北新区、市卫健委、市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保局、市工信局、市科技局、市市场监管局、市规划资源局、市生态环境局）</w:t>
      </w:r>
    </w:p>
    <w:p w14:paraId="6FE790F6"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名中医诊疗中心。依托南京中医药大学国医堂、省中医院为核心，集聚全国知名中医、国医大师，建立以中医诊疗、中药养生为主要特色，康复治疗、慢病治疗、生殖健康、肿瘤治疗、传染病治疗、精神病治疗等特色专科共同发展的中医药服务专区。（责任单位：秦淮区、鼓楼区、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保局、市工信局、市科技局、市市场监管局、市规划资源局、市生态环境局）</w:t>
      </w:r>
    </w:p>
    <w:p w14:paraId="21B1231F"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lastRenderedPageBreak/>
        <w:t>3</w:t>
      </w:r>
      <w:r w:rsidRPr="00943480">
        <w:rPr>
          <w:rFonts w:ascii="Arial" w:eastAsia="宋体" w:hAnsi="Arial" w:cs="Arial"/>
          <w:color w:val="333333"/>
          <w:kern w:val="0"/>
          <w:sz w:val="24"/>
          <w:szCs w:val="24"/>
        </w:rPr>
        <w:t>﹒建设国内一流的康养目的地</w:t>
      </w:r>
    </w:p>
    <w:p w14:paraId="239D0DCB"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健康养老示范基地。依托溧水区、江宁区，按照国际一流、国内领先的定位，探索医疗、养老、康复、护理一体化服务新模式，以江苏省康复医院、南京市颐养中心、</w:t>
      </w:r>
      <w:proofErr w:type="gramStart"/>
      <w:r w:rsidRPr="00943480">
        <w:rPr>
          <w:rFonts w:ascii="Arial" w:eastAsia="宋体" w:hAnsi="Arial" w:cs="Arial"/>
          <w:color w:val="333333"/>
          <w:kern w:val="0"/>
          <w:sz w:val="24"/>
          <w:szCs w:val="24"/>
        </w:rPr>
        <w:t>晶桥康养</w:t>
      </w:r>
      <w:proofErr w:type="gramEnd"/>
      <w:r w:rsidRPr="00943480">
        <w:rPr>
          <w:rFonts w:ascii="Arial" w:eastAsia="宋体" w:hAnsi="Arial" w:cs="Arial"/>
          <w:color w:val="333333"/>
          <w:kern w:val="0"/>
          <w:sz w:val="24"/>
          <w:szCs w:val="24"/>
        </w:rPr>
        <w:t>产业核心区、苏豪汤山康养小镇等建设为契机，推动康养服务，加大对保健食品、特殊用途化妆品、新型保健品企业引进力度，集聚一批康复、养老、养生企业，加快建设全球规模最大、设施最全、技术水准最高的康养示范基地。（责任单位：溧水区、江宁区、市民政局、市卫健委、市科技局、市市场监管局、市规划资源局、市生态环境局、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w:t>
      </w:r>
    </w:p>
    <w:p w14:paraId="5B26DAB1"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健康体育产业基地。依托溧水区，挖掘南京体育资源，大力扶持</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溧水国家体育产业示范基地</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，推进制造业联动，建设体育先进制造业核心和</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健康中国</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溧水样本，构建羽毛球、足球、篮球、橡胶球和智能健身设备</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五大</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研发制造基地，全力打造长三角户外运动目的地。（责任单位：溧水区、市体育局、市卫健委、市科技局、市市场监管局、市规划资源局、市生态环境局）</w:t>
      </w:r>
    </w:p>
    <w:p w14:paraId="7CA0B01C"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（二）加强龙头企业培育</w:t>
      </w:r>
    </w:p>
    <w:p w14:paraId="3B910D05"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1</w:t>
      </w:r>
      <w:r w:rsidRPr="00943480">
        <w:rPr>
          <w:rFonts w:ascii="Arial" w:eastAsia="宋体" w:hAnsi="Arial" w:cs="Arial"/>
          <w:color w:val="333333"/>
          <w:kern w:val="0"/>
          <w:sz w:val="24"/>
          <w:szCs w:val="24"/>
        </w:rPr>
        <w:t>﹒招引龙头企业。围绕产业重点发展领域，集中资源和力量招引一批显示度高、带动性强、经济效益优的重大产业化项目，积极引进世界五百强、行业百强以及独角兽企业在南京设立总部或研发中心、建设生产基地。积极融入长三角一体化发展格局，加强与上海、北京等城市的资源对接与产业合作，承接具有先进性、前沿性的产业化项目，对重大项目实行</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一事一议</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。（责任单位：江北新区、江宁区、栖霞区、高淳区、溧水区、</w:t>
      </w:r>
      <w:proofErr w:type="gramStart"/>
      <w:r w:rsidRPr="00943480">
        <w:rPr>
          <w:rFonts w:ascii="Arial" w:eastAsia="宋体" w:hAnsi="Arial" w:cs="Arial"/>
          <w:color w:val="333333"/>
          <w:kern w:val="0"/>
          <w:sz w:val="24"/>
          <w:szCs w:val="24"/>
        </w:rPr>
        <w:t>市投促局</w:t>
      </w:r>
      <w:proofErr w:type="gramEnd"/>
      <w:r w:rsidRPr="00943480">
        <w:rPr>
          <w:rFonts w:ascii="Arial" w:eastAsia="宋体" w:hAnsi="Arial" w:cs="Arial"/>
          <w:color w:val="333333"/>
          <w:kern w:val="0"/>
          <w:sz w:val="24"/>
          <w:szCs w:val="24"/>
        </w:rPr>
        <w:t>、市工信局、市科技局、市财政局、</w:t>
      </w:r>
      <w:proofErr w:type="gramStart"/>
      <w:r w:rsidRPr="00943480">
        <w:rPr>
          <w:rFonts w:ascii="Arial" w:eastAsia="宋体" w:hAnsi="Arial" w:cs="Arial"/>
          <w:color w:val="333333"/>
          <w:kern w:val="0"/>
          <w:sz w:val="24"/>
          <w:szCs w:val="24"/>
        </w:rPr>
        <w:t>市发改委</w:t>
      </w:r>
      <w:proofErr w:type="gramEnd"/>
      <w:r w:rsidRPr="00943480">
        <w:rPr>
          <w:rFonts w:ascii="Arial" w:eastAsia="宋体" w:hAnsi="Arial" w:cs="Arial"/>
          <w:color w:val="333333"/>
          <w:kern w:val="0"/>
          <w:sz w:val="24"/>
          <w:szCs w:val="24"/>
        </w:rPr>
        <w:t>、市生态环境局）</w:t>
      </w:r>
    </w:p>
    <w:p w14:paraId="46AD538E"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2</w:t>
      </w:r>
      <w:r w:rsidRPr="00943480">
        <w:rPr>
          <w:rFonts w:ascii="Arial" w:eastAsia="宋体" w:hAnsi="Arial" w:cs="Arial"/>
          <w:color w:val="333333"/>
          <w:kern w:val="0"/>
          <w:sz w:val="24"/>
          <w:szCs w:val="24"/>
        </w:rPr>
        <w:t>﹒支持企业创新。支持企业创新药和高端医疗器械研发和产业化。对于注册</w:t>
      </w:r>
      <w:r w:rsidRPr="00943480">
        <w:rPr>
          <w:rFonts w:ascii="Arial" w:eastAsia="宋体" w:hAnsi="Arial" w:cs="Arial"/>
          <w:color w:val="333333"/>
          <w:kern w:val="0"/>
          <w:sz w:val="24"/>
          <w:szCs w:val="24"/>
        </w:rPr>
        <w:t>1</w:t>
      </w:r>
      <w:r w:rsidRPr="00943480">
        <w:rPr>
          <w:rFonts w:ascii="Arial" w:eastAsia="宋体" w:hAnsi="Arial" w:cs="Arial"/>
          <w:color w:val="333333"/>
          <w:kern w:val="0"/>
          <w:sz w:val="24"/>
          <w:szCs w:val="24"/>
        </w:rPr>
        <w:t>类、</w:t>
      </w:r>
      <w:r w:rsidRPr="00943480">
        <w:rPr>
          <w:rFonts w:ascii="Arial" w:eastAsia="宋体" w:hAnsi="Arial" w:cs="Arial"/>
          <w:color w:val="333333"/>
          <w:kern w:val="0"/>
          <w:sz w:val="24"/>
          <w:szCs w:val="24"/>
        </w:rPr>
        <w:t>2</w:t>
      </w:r>
      <w:r w:rsidRPr="00943480">
        <w:rPr>
          <w:rFonts w:ascii="Arial" w:eastAsia="宋体" w:hAnsi="Arial" w:cs="Arial"/>
          <w:color w:val="333333"/>
          <w:kern w:val="0"/>
          <w:sz w:val="24"/>
          <w:szCs w:val="24"/>
        </w:rPr>
        <w:t>类新药和生物</w:t>
      </w:r>
      <w:proofErr w:type="gramStart"/>
      <w:r w:rsidRPr="00943480">
        <w:rPr>
          <w:rFonts w:ascii="Arial" w:eastAsia="宋体" w:hAnsi="Arial" w:cs="Arial"/>
          <w:color w:val="333333"/>
          <w:kern w:val="0"/>
          <w:sz w:val="24"/>
          <w:szCs w:val="24"/>
        </w:rPr>
        <w:t>类似药</w:t>
      </w:r>
      <w:proofErr w:type="gramEnd"/>
      <w:r w:rsidRPr="00943480">
        <w:rPr>
          <w:rFonts w:ascii="Arial" w:eastAsia="宋体" w:hAnsi="Arial" w:cs="Arial"/>
          <w:color w:val="333333"/>
          <w:kern w:val="0"/>
          <w:sz w:val="24"/>
          <w:szCs w:val="24"/>
        </w:rPr>
        <w:t>进入临床</w:t>
      </w:r>
      <w:r w:rsidRPr="00943480">
        <w:rPr>
          <w:rFonts w:ascii="Arial" w:eastAsia="宋体" w:hAnsi="Arial" w:cs="Arial"/>
          <w:color w:val="333333"/>
          <w:kern w:val="0"/>
          <w:sz w:val="24"/>
          <w:szCs w:val="24"/>
        </w:rPr>
        <w:t>I</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II</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III</w:t>
      </w:r>
      <w:r w:rsidRPr="00943480">
        <w:rPr>
          <w:rFonts w:ascii="Arial" w:eastAsia="宋体" w:hAnsi="Arial" w:cs="Arial"/>
          <w:color w:val="333333"/>
          <w:kern w:val="0"/>
          <w:sz w:val="24"/>
          <w:szCs w:val="24"/>
        </w:rPr>
        <w:t>期阶段，给予阶段</w:t>
      </w:r>
      <w:proofErr w:type="gramStart"/>
      <w:r w:rsidRPr="00943480">
        <w:rPr>
          <w:rFonts w:ascii="Arial" w:eastAsia="宋体" w:hAnsi="Arial" w:cs="Arial"/>
          <w:color w:val="333333"/>
          <w:kern w:val="0"/>
          <w:sz w:val="24"/>
          <w:szCs w:val="24"/>
        </w:rPr>
        <w:t>资金奖补</w:t>
      </w:r>
      <w:proofErr w:type="gramEnd"/>
      <w:r w:rsidRPr="00943480">
        <w:rPr>
          <w:rFonts w:ascii="Arial" w:eastAsia="宋体" w:hAnsi="Arial" w:cs="Arial"/>
          <w:color w:val="333333"/>
          <w:kern w:val="0"/>
          <w:sz w:val="24"/>
          <w:szCs w:val="24"/>
        </w:rPr>
        <w:t>；对获得生产批件，并在本市产业化的新药项目，根据产品类别和投资额给予资金支持。对新取得第二、三类医疗器械注册证书，并在本市产业化的项目给予奖励。对开发新型保健用品、保健食品、康复功能用品等并取得医疗康复应用资质，且在本市产业化，给予奖励。对企业通过仿制药质量和疗效一致性评价（国家新四类药品）的药品给予奖励。对新取得美国食品药品监督管理局、欧洲药品管理局、日本药品医疗器械局等机构批准获得临床批件、境外上市资质的药品和医疗器械，给予资助。（责任单位：市工信局、市科技局、市财政局、市市场监管局、</w:t>
      </w:r>
      <w:proofErr w:type="gramStart"/>
      <w:r w:rsidRPr="00943480">
        <w:rPr>
          <w:rFonts w:ascii="Arial" w:eastAsia="宋体" w:hAnsi="Arial" w:cs="Arial"/>
          <w:color w:val="333333"/>
          <w:kern w:val="0"/>
          <w:sz w:val="24"/>
          <w:szCs w:val="24"/>
        </w:rPr>
        <w:t>市发改委</w:t>
      </w:r>
      <w:proofErr w:type="gramEnd"/>
      <w:r w:rsidRPr="00943480">
        <w:rPr>
          <w:rFonts w:ascii="Arial" w:eastAsia="宋体" w:hAnsi="Arial" w:cs="Arial"/>
          <w:color w:val="333333"/>
          <w:kern w:val="0"/>
          <w:sz w:val="24"/>
          <w:szCs w:val="24"/>
        </w:rPr>
        <w:t>、市卫健委、市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w:t>
      </w:r>
    </w:p>
    <w:p w14:paraId="026B4728"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lastRenderedPageBreak/>
        <w:t>3</w:t>
      </w:r>
      <w:r w:rsidRPr="00943480">
        <w:rPr>
          <w:rFonts w:ascii="Arial" w:eastAsia="宋体" w:hAnsi="Arial" w:cs="Arial"/>
          <w:color w:val="333333"/>
          <w:kern w:val="0"/>
          <w:sz w:val="24"/>
          <w:szCs w:val="24"/>
        </w:rPr>
        <w:t>﹒推动兼并重组。聚焦重点领域，建立龙头企业培育名单，每年遴选出</w:t>
      </w:r>
      <w:r w:rsidRPr="00943480">
        <w:rPr>
          <w:rFonts w:ascii="Arial" w:eastAsia="宋体" w:hAnsi="Arial" w:cs="Arial"/>
          <w:color w:val="333333"/>
          <w:kern w:val="0"/>
          <w:sz w:val="24"/>
          <w:szCs w:val="24"/>
        </w:rPr>
        <w:t>30</w:t>
      </w:r>
      <w:r w:rsidRPr="00943480">
        <w:rPr>
          <w:rFonts w:ascii="Arial" w:eastAsia="宋体" w:hAnsi="Arial" w:cs="Arial"/>
          <w:color w:val="333333"/>
          <w:kern w:val="0"/>
          <w:sz w:val="24"/>
          <w:szCs w:val="24"/>
        </w:rPr>
        <w:t>家企业作为潜在龙头企业重点培育，入选企业给予</w:t>
      </w:r>
      <w:r w:rsidRPr="00943480">
        <w:rPr>
          <w:rFonts w:ascii="Arial" w:eastAsia="宋体" w:hAnsi="Arial" w:cs="Arial"/>
          <w:color w:val="333333"/>
          <w:kern w:val="0"/>
          <w:sz w:val="24"/>
          <w:szCs w:val="24"/>
        </w:rPr>
        <w:t>“</w:t>
      </w:r>
      <w:proofErr w:type="gramStart"/>
      <w:r w:rsidRPr="00943480">
        <w:rPr>
          <w:rFonts w:ascii="Arial" w:eastAsia="宋体" w:hAnsi="Arial" w:cs="Arial"/>
          <w:color w:val="333333"/>
          <w:kern w:val="0"/>
          <w:sz w:val="24"/>
          <w:szCs w:val="24"/>
        </w:rPr>
        <w:t>一</w:t>
      </w:r>
      <w:proofErr w:type="gramEnd"/>
      <w:r w:rsidRPr="00943480">
        <w:rPr>
          <w:rFonts w:ascii="Arial" w:eastAsia="宋体" w:hAnsi="Arial" w:cs="Arial"/>
          <w:color w:val="333333"/>
          <w:kern w:val="0"/>
          <w:sz w:val="24"/>
          <w:szCs w:val="24"/>
        </w:rPr>
        <w:t>企</w:t>
      </w:r>
      <w:proofErr w:type="gramStart"/>
      <w:r w:rsidRPr="00943480">
        <w:rPr>
          <w:rFonts w:ascii="Arial" w:eastAsia="宋体" w:hAnsi="Arial" w:cs="Arial"/>
          <w:color w:val="333333"/>
          <w:kern w:val="0"/>
          <w:sz w:val="24"/>
          <w:szCs w:val="24"/>
        </w:rPr>
        <w:t>一</w:t>
      </w:r>
      <w:proofErr w:type="gramEnd"/>
      <w:r w:rsidRPr="00943480">
        <w:rPr>
          <w:rFonts w:ascii="Arial" w:eastAsia="宋体" w:hAnsi="Arial" w:cs="Arial"/>
          <w:color w:val="333333"/>
          <w:kern w:val="0"/>
          <w:sz w:val="24"/>
          <w:szCs w:val="24"/>
        </w:rPr>
        <w:t>策</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的资金和政策支持。推动我市骨干企业兼并、重组，纵向上瞄准产业</w:t>
      </w:r>
      <w:proofErr w:type="gramStart"/>
      <w:r w:rsidRPr="00943480">
        <w:rPr>
          <w:rFonts w:ascii="Arial" w:eastAsia="宋体" w:hAnsi="Arial" w:cs="Arial"/>
          <w:color w:val="333333"/>
          <w:kern w:val="0"/>
          <w:sz w:val="24"/>
          <w:szCs w:val="24"/>
        </w:rPr>
        <w:t>链关键</w:t>
      </w:r>
      <w:proofErr w:type="gramEnd"/>
      <w:r w:rsidRPr="00943480">
        <w:rPr>
          <w:rFonts w:ascii="Arial" w:eastAsia="宋体" w:hAnsi="Arial" w:cs="Arial"/>
          <w:color w:val="333333"/>
          <w:kern w:val="0"/>
          <w:sz w:val="24"/>
          <w:szCs w:val="24"/>
        </w:rPr>
        <w:t>环节和核心技术，实施高端并购、强强联合；横向上加快类型企业集群集聚，并购具有前沿技术、创新产品项目的研发型企业，为龙头企业进一步扩大提供增长极。通过并购贷款、可转换债券等措施加大对企业兼并重组的金融支持，鼓励各类投资者通过股权投资基金、创业投资基金、产业投资基金等形式参与企业兼并重组。（责任单位：市工信局、市科技局、市财政局、市金融监管局、</w:t>
      </w:r>
      <w:proofErr w:type="gramStart"/>
      <w:r w:rsidRPr="00943480">
        <w:rPr>
          <w:rFonts w:ascii="Arial" w:eastAsia="宋体" w:hAnsi="Arial" w:cs="Arial"/>
          <w:color w:val="333333"/>
          <w:kern w:val="0"/>
          <w:sz w:val="24"/>
          <w:szCs w:val="24"/>
        </w:rPr>
        <w:t>市发改委</w:t>
      </w:r>
      <w:proofErr w:type="gramEnd"/>
      <w:r w:rsidRPr="00943480">
        <w:rPr>
          <w:rFonts w:ascii="Arial" w:eastAsia="宋体" w:hAnsi="Arial" w:cs="Arial"/>
          <w:color w:val="333333"/>
          <w:kern w:val="0"/>
          <w:sz w:val="24"/>
          <w:szCs w:val="24"/>
        </w:rPr>
        <w:t>、市生态环境局）</w:t>
      </w:r>
    </w:p>
    <w:p w14:paraId="68957177"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（三）完善产业发展平台</w:t>
      </w:r>
    </w:p>
    <w:p w14:paraId="482EDB51"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1</w:t>
      </w:r>
      <w:r w:rsidRPr="00943480">
        <w:rPr>
          <w:rFonts w:ascii="Arial" w:eastAsia="宋体" w:hAnsi="Arial" w:cs="Arial"/>
          <w:color w:val="333333"/>
          <w:kern w:val="0"/>
          <w:sz w:val="24"/>
          <w:szCs w:val="24"/>
        </w:rPr>
        <w:t>﹒建设产业高端平台。围绕细胞产业创新需求，建设</w:t>
      </w:r>
      <w:r w:rsidRPr="00943480">
        <w:rPr>
          <w:rFonts w:ascii="Arial" w:eastAsia="宋体" w:hAnsi="Arial" w:cs="Arial"/>
          <w:color w:val="333333"/>
          <w:kern w:val="0"/>
          <w:sz w:val="24"/>
          <w:szCs w:val="24"/>
        </w:rPr>
        <w:t>“</w:t>
      </w:r>
      <w:proofErr w:type="gramStart"/>
      <w:r w:rsidRPr="00943480">
        <w:rPr>
          <w:rFonts w:ascii="Arial" w:eastAsia="宋体" w:hAnsi="Arial" w:cs="Arial"/>
          <w:color w:val="333333"/>
          <w:kern w:val="0"/>
          <w:sz w:val="24"/>
          <w:szCs w:val="24"/>
        </w:rPr>
        <w:t>一库四</w:t>
      </w:r>
      <w:proofErr w:type="gramEnd"/>
      <w:r w:rsidRPr="00943480">
        <w:rPr>
          <w:rFonts w:ascii="Arial" w:eastAsia="宋体" w:hAnsi="Arial" w:cs="Arial"/>
          <w:color w:val="333333"/>
          <w:kern w:val="0"/>
          <w:sz w:val="24"/>
          <w:szCs w:val="24"/>
        </w:rPr>
        <w:t>中心</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（人体免疫细胞</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干细胞综合细胞库、细胞质量检测中心、细胞制备中心、细胞临床技术网络服务中心、企业孵化中心）；围绕创新药研发需求，建设新药筛选、临床评价、原料合成、产品中试和工艺放大平台，支持企业高标准建设共性制造平台，提供</w:t>
      </w:r>
      <w:r w:rsidRPr="00943480">
        <w:rPr>
          <w:rFonts w:ascii="Arial" w:eastAsia="宋体" w:hAnsi="Arial" w:cs="Arial"/>
          <w:color w:val="333333"/>
          <w:kern w:val="0"/>
          <w:sz w:val="24"/>
          <w:szCs w:val="24"/>
        </w:rPr>
        <w:t>CMO</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CDMO</w:t>
      </w:r>
      <w:r w:rsidRPr="00943480">
        <w:rPr>
          <w:rFonts w:ascii="Arial" w:eastAsia="宋体" w:hAnsi="Arial" w:cs="Arial"/>
          <w:color w:val="333333"/>
          <w:kern w:val="0"/>
          <w:sz w:val="24"/>
          <w:szCs w:val="24"/>
        </w:rPr>
        <w:t>）服务，促进产业集聚集群，为企业提供研发创新支持。（责任单位：江宁区、江北新区、市科技局、市工信局、市市场监管局、其他各相关区）</w:t>
      </w:r>
    </w:p>
    <w:p w14:paraId="48A09149"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2</w:t>
      </w:r>
      <w:r w:rsidRPr="00943480">
        <w:rPr>
          <w:rFonts w:ascii="Arial" w:eastAsia="宋体" w:hAnsi="Arial" w:cs="Arial"/>
          <w:color w:val="333333"/>
          <w:kern w:val="0"/>
          <w:sz w:val="24"/>
          <w:szCs w:val="24"/>
        </w:rPr>
        <w:t>﹒开放已建技术平台。推进国家健康</w:t>
      </w:r>
      <w:proofErr w:type="gramStart"/>
      <w:r w:rsidRPr="00943480">
        <w:rPr>
          <w:rFonts w:ascii="Arial" w:eastAsia="宋体" w:hAnsi="Arial" w:cs="Arial"/>
          <w:color w:val="333333"/>
          <w:kern w:val="0"/>
          <w:sz w:val="24"/>
          <w:szCs w:val="24"/>
        </w:rPr>
        <w:t>医疗大</w:t>
      </w:r>
      <w:proofErr w:type="gramEnd"/>
      <w:r w:rsidRPr="00943480">
        <w:rPr>
          <w:rFonts w:ascii="Arial" w:eastAsia="宋体" w:hAnsi="Arial" w:cs="Arial"/>
          <w:color w:val="333333"/>
          <w:kern w:val="0"/>
          <w:sz w:val="24"/>
          <w:szCs w:val="24"/>
        </w:rPr>
        <w:t>数据（南京）中心、国家遗传工程小鼠资源库、多功能干细胞库、中国药科大学天然药物活性组分与药效国家重点实验室、南京大学医药生物技术国家重点实验室、先声药业转化医学与创新药物国家重点实验室、中药现代化科技产业基地、南京江北新区生物医药公共服务平台等高校、科研机构、大型企业服务平台资源向社会开放服务，实现全市服务平台资源共享。（责任单位：市科技局、市工信局、江北新区、各相关区）</w:t>
      </w:r>
    </w:p>
    <w:p w14:paraId="52F275B6"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3</w:t>
      </w:r>
      <w:r w:rsidRPr="00943480">
        <w:rPr>
          <w:rFonts w:ascii="Arial" w:eastAsia="宋体" w:hAnsi="Arial" w:cs="Arial"/>
          <w:color w:val="333333"/>
          <w:kern w:val="0"/>
          <w:sz w:val="24"/>
          <w:szCs w:val="24"/>
        </w:rPr>
        <w:t>﹒打造药物临床研究中心。重点扶持鼓楼医院江北国际医院、恒瑞南京创新药物临床研究及医学转化中心等机构建设符合国际标准的临床药物研究中心，建设功能完善、设施先进、符合</w:t>
      </w:r>
      <w:r w:rsidRPr="00943480">
        <w:rPr>
          <w:rFonts w:ascii="Arial" w:eastAsia="宋体" w:hAnsi="Arial" w:cs="Arial"/>
          <w:color w:val="333333"/>
          <w:kern w:val="0"/>
          <w:sz w:val="24"/>
          <w:szCs w:val="24"/>
        </w:rPr>
        <w:t>GCP</w:t>
      </w:r>
      <w:r w:rsidRPr="00943480">
        <w:rPr>
          <w:rFonts w:ascii="Arial" w:eastAsia="宋体" w:hAnsi="Arial" w:cs="Arial"/>
          <w:color w:val="333333"/>
          <w:kern w:val="0"/>
          <w:sz w:val="24"/>
          <w:szCs w:val="24"/>
        </w:rPr>
        <w:t>标准的国际化、专业化、智能化研究型病房。建立促进临床试验工作机制，加快本市创新药品、器械优先进入本市医疗机构临床试验，对在本市医疗机构临床试验的企业给予临床试验经费支持。（责任单位：市卫健委、市科技局、市工信局、市市场监管局、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保局、江北新区、各相关区）</w:t>
      </w:r>
    </w:p>
    <w:p w14:paraId="3A9A98F1"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4</w:t>
      </w:r>
      <w:r w:rsidRPr="00943480">
        <w:rPr>
          <w:rFonts w:ascii="Arial" w:eastAsia="宋体" w:hAnsi="Arial" w:cs="Arial"/>
          <w:color w:val="333333"/>
          <w:kern w:val="0"/>
          <w:sz w:val="24"/>
          <w:szCs w:val="24"/>
        </w:rPr>
        <w:t>﹒建设临床生物样本资源库。以国际样本库质量评价能力认证为目标，构建以优势重大疾病资源为特色的区域性多中心临床生物样本资源共享平台，开</w:t>
      </w:r>
      <w:r w:rsidRPr="00943480">
        <w:rPr>
          <w:rFonts w:ascii="Arial" w:eastAsia="宋体" w:hAnsi="Arial" w:cs="Arial"/>
          <w:color w:val="333333"/>
          <w:kern w:val="0"/>
          <w:sz w:val="24"/>
          <w:szCs w:val="24"/>
        </w:rPr>
        <w:lastRenderedPageBreak/>
        <w:t>展细胞生物学、分子生物学、分子病理学、基因组学和蛋白质组学研究，为疾病预测、早期诊断、分子分型与个性化治疗、预后评估等提供诊疗新策略；开展药物敏感性和特异性大规模样本验证，提高药物筛选的效率，缩短新药开发的周期；基于生物样本的基因组学研究，开发分子分型检测产品以指导疾病个性化治疗。（市卫健委、江北新区、市科技局、市工信局）</w:t>
      </w:r>
    </w:p>
    <w:p w14:paraId="57EA1683"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5</w:t>
      </w:r>
      <w:r w:rsidRPr="00943480">
        <w:rPr>
          <w:rFonts w:ascii="Arial" w:eastAsia="宋体" w:hAnsi="Arial" w:cs="Arial"/>
          <w:color w:val="333333"/>
          <w:kern w:val="0"/>
          <w:sz w:val="24"/>
          <w:szCs w:val="24"/>
        </w:rPr>
        <w:t>﹒搭建产业交流平台。每年举办</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南京市新医药与生命健康产业峰会</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充分发挥在宁产业经济合作交流资源优势，依托南京创新周、金秋经贸洽谈会、世界智能制造大会和软博会等平台，支持引进、策划组织国际性、全国性、专业化的生物医药产业展会、峰会、论坛、学术交流等活动，并给予补助；支持成立生物医药类行业协会，鼓励国际知名协会在宁设立分支机构，通过购买服务等方式支持协会发展。（责任单位：市工信局、市财政局、市民政局、</w:t>
      </w:r>
      <w:proofErr w:type="gramStart"/>
      <w:r w:rsidRPr="00943480">
        <w:rPr>
          <w:rFonts w:ascii="Arial" w:eastAsia="宋体" w:hAnsi="Arial" w:cs="Arial"/>
          <w:color w:val="333333"/>
          <w:kern w:val="0"/>
          <w:sz w:val="24"/>
          <w:szCs w:val="24"/>
        </w:rPr>
        <w:t>市投促局</w:t>
      </w:r>
      <w:proofErr w:type="gramEnd"/>
      <w:r w:rsidRPr="00943480">
        <w:rPr>
          <w:rFonts w:ascii="Arial" w:eastAsia="宋体" w:hAnsi="Arial" w:cs="Arial"/>
          <w:color w:val="333333"/>
          <w:kern w:val="0"/>
          <w:sz w:val="24"/>
          <w:szCs w:val="24"/>
        </w:rPr>
        <w:t>、</w:t>
      </w:r>
      <w:proofErr w:type="gramStart"/>
      <w:r w:rsidRPr="00943480">
        <w:rPr>
          <w:rFonts w:ascii="Arial" w:eastAsia="宋体" w:hAnsi="Arial" w:cs="Arial"/>
          <w:color w:val="333333"/>
          <w:kern w:val="0"/>
          <w:sz w:val="24"/>
          <w:szCs w:val="24"/>
        </w:rPr>
        <w:t>市发改委</w:t>
      </w:r>
      <w:proofErr w:type="gramEnd"/>
      <w:r w:rsidRPr="00943480">
        <w:rPr>
          <w:rFonts w:ascii="Arial" w:eastAsia="宋体" w:hAnsi="Arial" w:cs="Arial"/>
          <w:color w:val="333333"/>
          <w:kern w:val="0"/>
          <w:sz w:val="24"/>
          <w:szCs w:val="24"/>
        </w:rPr>
        <w:t>、市科技局、江北新区、各相关区）</w:t>
      </w:r>
    </w:p>
    <w:p w14:paraId="4A6E8BF0"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6</w:t>
      </w:r>
      <w:r w:rsidRPr="00943480">
        <w:rPr>
          <w:rFonts w:ascii="Arial" w:eastAsia="宋体" w:hAnsi="Arial" w:cs="Arial"/>
          <w:color w:val="333333"/>
          <w:kern w:val="0"/>
          <w:sz w:val="24"/>
          <w:szCs w:val="24"/>
        </w:rPr>
        <w:t>﹒发展研发外包平台。培育新医药与生命健康产业各类研发及服务机构，鼓励研发外包企业与国际标准全面接轨，加快建设以市场为导向、企业为主体、产学研联合的新医药与生命健康研发链，支持医药合同定制研发生产优势企业建立研发生产一体化发展新模式，在药学研究、临床前安全性评价、新药临床研究和新药生产工艺开发及产业化、已上市药物规模化委托加工等方面提供高质量、国际化服务。（责任单位：市科技局、市工信局、市财政局、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保局、江北新区、各相关区）</w:t>
      </w:r>
    </w:p>
    <w:p w14:paraId="0DFB42B1"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（四）加强科技创新支撑</w:t>
      </w:r>
    </w:p>
    <w:p w14:paraId="7B3A453B"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1</w:t>
      </w:r>
      <w:r w:rsidRPr="00943480">
        <w:rPr>
          <w:rFonts w:ascii="Arial" w:eastAsia="宋体" w:hAnsi="Arial" w:cs="Arial"/>
          <w:color w:val="333333"/>
          <w:kern w:val="0"/>
          <w:sz w:val="24"/>
          <w:szCs w:val="24"/>
        </w:rPr>
        <w:t>﹒集聚高端人才。依托</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创业南京</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英才计划、</w:t>
      </w:r>
      <w:r w:rsidRPr="00943480">
        <w:rPr>
          <w:rFonts w:ascii="Arial" w:eastAsia="宋体" w:hAnsi="Arial" w:cs="Arial"/>
          <w:color w:val="333333"/>
          <w:kern w:val="0"/>
          <w:sz w:val="24"/>
          <w:szCs w:val="24"/>
        </w:rPr>
        <w:t>“345”</w:t>
      </w:r>
      <w:r w:rsidRPr="00943480">
        <w:rPr>
          <w:rFonts w:ascii="Arial" w:eastAsia="宋体" w:hAnsi="Arial" w:cs="Arial"/>
          <w:color w:val="333333"/>
          <w:kern w:val="0"/>
          <w:sz w:val="24"/>
          <w:szCs w:val="24"/>
        </w:rPr>
        <w:t>海外高层次人才引进计划、</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企业专家工作室建设</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等重点人才工程，引进和培养一批新医药与生命健康领域高端人才和创新创业团队，引进人才享受市有关人才安居、资金奖励扶持政策；支持在宁高校新医药与生命健康相关专业学科的发展，在中国药科大学、南京医科大学、南京大学、东南大学等优势专业院校建立南京生物医药产业学院，建立定向培养机制，共建人才实训基地；针对生物医药工艺开发、生物信息、医疗人工智能、</w:t>
      </w:r>
      <w:proofErr w:type="gramStart"/>
      <w:r w:rsidRPr="00943480">
        <w:rPr>
          <w:rFonts w:ascii="Arial" w:eastAsia="宋体" w:hAnsi="Arial" w:cs="Arial"/>
          <w:color w:val="333333"/>
          <w:kern w:val="0"/>
          <w:sz w:val="24"/>
          <w:szCs w:val="24"/>
        </w:rPr>
        <w:t>医疗大</w:t>
      </w:r>
      <w:proofErr w:type="gramEnd"/>
      <w:r w:rsidRPr="00943480">
        <w:rPr>
          <w:rFonts w:ascii="Arial" w:eastAsia="宋体" w:hAnsi="Arial" w:cs="Arial"/>
          <w:color w:val="333333"/>
          <w:kern w:val="0"/>
          <w:sz w:val="24"/>
          <w:szCs w:val="24"/>
        </w:rPr>
        <w:t>数据等急需的高级技能人才和复合型技能人才，提前做好战略性人才储备。（责任单位：市委组织部、市科技局、市</w:t>
      </w:r>
      <w:proofErr w:type="gramStart"/>
      <w:r w:rsidRPr="00943480">
        <w:rPr>
          <w:rFonts w:ascii="Arial" w:eastAsia="宋体" w:hAnsi="Arial" w:cs="Arial"/>
          <w:color w:val="333333"/>
          <w:kern w:val="0"/>
          <w:sz w:val="24"/>
          <w:szCs w:val="24"/>
        </w:rPr>
        <w:t>人社局</w:t>
      </w:r>
      <w:proofErr w:type="gramEnd"/>
      <w:r w:rsidRPr="00943480">
        <w:rPr>
          <w:rFonts w:ascii="Arial" w:eastAsia="宋体" w:hAnsi="Arial" w:cs="Arial"/>
          <w:color w:val="333333"/>
          <w:kern w:val="0"/>
          <w:sz w:val="24"/>
          <w:szCs w:val="24"/>
        </w:rPr>
        <w:t>、市工信局、市财政局、市卫健委、市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保局、江北新区、各相关区）</w:t>
      </w:r>
    </w:p>
    <w:p w14:paraId="057EECD6"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2</w:t>
      </w:r>
      <w:r w:rsidRPr="00943480">
        <w:rPr>
          <w:rFonts w:ascii="Arial" w:eastAsia="宋体" w:hAnsi="Arial" w:cs="Arial"/>
          <w:color w:val="333333"/>
          <w:kern w:val="0"/>
          <w:sz w:val="24"/>
          <w:szCs w:val="24"/>
        </w:rPr>
        <w:t>﹒强化科技攻关。以高新技术企业和新型研发机构为主体，围绕核酸、抗体、疫苗、细胞等新型生物技术药物，肿瘤、心脑血管、糖尿病等多发疾病用药及艾滋病等罕见病重大用药，高端医疗器械等领域组织开展产业关键核心技术攻关，解决产业共性问题和</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卡脖子</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技术难题。每年遴选</w:t>
      </w:r>
      <w:r w:rsidRPr="00943480">
        <w:rPr>
          <w:rFonts w:ascii="Arial" w:eastAsia="宋体" w:hAnsi="Arial" w:cs="Arial"/>
          <w:color w:val="333333"/>
          <w:kern w:val="0"/>
          <w:sz w:val="24"/>
          <w:szCs w:val="24"/>
        </w:rPr>
        <w:t>5</w:t>
      </w:r>
      <w:r w:rsidRPr="00943480">
        <w:rPr>
          <w:rFonts w:ascii="Arial" w:eastAsia="宋体" w:hAnsi="Arial" w:cs="Arial"/>
          <w:color w:val="333333"/>
          <w:kern w:val="0"/>
          <w:sz w:val="24"/>
          <w:szCs w:val="24"/>
        </w:rPr>
        <w:t>个重大关键技术</w:t>
      </w:r>
      <w:r w:rsidRPr="00943480">
        <w:rPr>
          <w:rFonts w:ascii="Arial" w:eastAsia="宋体" w:hAnsi="Arial" w:cs="Arial"/>
          <w:color w:val="333333"/>
          <w:kern w:val="0"/>
          <w:sz w:val="24"/>
          <w:szCs w:val="24"/>
        </w:rPr>
        <w:lastRenderedPageBreak/>
        <w:t>攻关项目，给予财政支持。（责任单位：市科技局、市财政局、市工信局、市卫健委、市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保局、江北新区、各相关区）</w:t>
      </w:r>
    </w:p>
    <w:p w14:paraId="71507FB7"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3</w:t>
      </w:r>
      <w:r w:rsidRPr="00943480">
        <w:rPr>
          <w:rFonts w:ascii="Arial" w:eastAsia="宋体" w:hAnsi="Arial" w:cs="Arial"/>
          <w:color w:val="333333"/>
          <w:kern w:val="0"/>
          <w:sz w:val="24"/>
          <w:szCs w:val="24"/>
        </w:rPr>
        <w:t>﹒加强协同创新。围绕新药创制、医疗设备、医用材料、再生医学、智慧医疗等</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医工结合</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前沿和新兴领域，建立政、产、学、</w:t>
      </w:r>
      <w:proofErr w:type="gramStart"/>
      <w:r w:rsidRPr="00943480">
        <w:rPr>
          <w:rFonts w:ascii="Arial" w:eastAsia="宋体" w:hAnsi="Arial" w:cs="Arial"/>
          <w:color w:val="333333"/>
          <w:kern w:val="0"/>
          <w:sz w:val="24"/>
          <w:szCs w:val="24"/>
        </w:rPr>
        <w:t>研</w:t>
      </w:r>
      <w:proofErr w:type="gramEnd"/>
      <w:r w:rsidRPr="00943480">
        <w:rPr>
          <w:rFonts w:ascii="Arial" w:eastAsia="宋体" w:hAnsi="Arial" w:cs="Arial"/>
          <w:color w:val="333333"/>
          <w:kern w:val="0"/>
          <w:sz w:val="24"/>
          <w:szCs w:val="24"/>
        </w:rPr>
        <w:t>、金、</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合作机制，发挥市场评价作用，鼓励投融资机构、专业代理机构参与项目评估遴选并由科技部门给予立项，各参与方通过协议约定各方投资规模和知识产权分割，成果明确在本市产业化的，每个项目给予支持。推动校地、校</w:t>
      </w:r>
      <w:proofErr w:type="gramStart"/>
      <w:r w:rsidRPr="00943480">
        <w:rPr>
          <w:rFonts w:ascii="Arial" w:eastAsia="宋体" w:hAnsi="Arial" w:cs="Arial"/>
          <w:color w:val="333333"/>
          <w:kern w:val="0"/>
          <w:sz w:val="24"/>
          <w:szCs w:val="24"/>
        </w:rPr>
        <w:t>企全面</w:t>
      </w:r>
      <w:proofErr w:type="gramEnd"/>
      <w:r w:rsidRPr="00943480">
        <w:rPr>
          <w:rFonts w:ascii="Arial" w:eastAsia="宋体" w:hAnsi="Arial" w:cs="Arial"/>
          <w:color w:val="333333"/>
          <w:kern w:val="0"/>
          <w:sz w:val="24"/>
          <w:szCs w:val="24"/>
        </w:rPr>
        <w:t>融合发展，推动科研院所、医疗机构的科技成果快速落地转化，鼓励多方共建研发实验室，委培专业人才，鼓励研究人员加盟我市生物医药企业或创办公司。（责任单位：市科技局、市工信局、市财政局、市委组织部、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保局、江北新区、各相关区）</w:t>
      </w:r>
    </w:p>
    <w:p w14:paraId="3840959A"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4</w:t>
      </w:r>
      <w:r w:rsidRPr="00943480">
        <w:rPr>
          <w:rFonts w:ascii="Arial" w:eastAsia="宋体" w:hAnsi="Arial" w:cs="Arial"/>
          <w:color w:val="333333"/>
          <w:kern w:val="0"/>
          <w:sz w:val="24"/>
          <w:szCs w:val="24"/>
        </w:rPr>
        <w:t>﹒促进成果转化。设立南京市创新转化项目引导基金，重点支持临床使用量较大、有市场应用前景、有改造替代空间、可国产化的药物、医疗器械、医用耗材、诊断试剂等重大项目。鼓励产学研</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协同创新，对医疗机构、高校、企业协同研发的项目，优先立项，给予财政资金支持。开展转化理论研究和管理制度创新，引导医疗机构建立科技成果转化体系，依法将医学创新成果的使用权、处置权和收益权下发给医疗机构；探索</w:t>
      </w:r>
      <w:proofErr w:type="gramStart"/>
      <w:r w:rsidRPr="00943480">
        <w:rPr>
          <w:rFonts w:ascii="Arial" w:eastAsia="宋体" w:hAnsi="Arial" w:cs="Arial"/>
          <w:color w:val="333333"/>
          <w:kern w:val="0"/>
          <w:sz w:val="24"/>
          <w:szCs w:val="24"/>
        </w:rPr>
        <w:t>医研企资长效</w:t>
      </w:r>
      <w:proofErr w:type="gramEnd"/>
      <w:r w:rsidRPr="00943480">
        <w:rPr>
          <w:rFonts w:ascii="Arial" w:eastAsia="宋体" w:hAnsi="Arial" w:cs="Arial"/>
          <w:color w:val="333333"/>
          <w:kern w:val="0"/>
          <w:sz w:val="24"/>
          <w:szCs w:val="24"/>
        </w:rPr>
        <w:t>合作机制，通过</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孵化</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创投</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的服务模式，加强与企业、社会资本的高度融合，建立通畅的投融资渠道和合理的利益退出机制，打造科技成果转移转化直通车。（责任单位：市卫健委、市科技局、市财政局、市金融监管局、市工信局、市市场监管局、江北新区、各相关区）</w:t>
      </w:r>
    </w:p>
    <w:p w14:paraId="20B8142E"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（五）优化产业发展环境</w:t>
      </w:r>
    </w:p>
    <w:p w14:paraId="50EAFD61"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1</w:t>
      </w:r>
      <w:r w:rsidRPr="00943480">
        <w:rPr>
          <w:rFonts w:ascii="Arial" w:eastAsia="宋体" w:hAnsi="Arial" w:cs="Arial"/>
          <w:color w:val="333333"/>
          <w:kern w:val="0"/>
          <w:sz w:val="24"/>
          <w:szCs w:val="24"/>
        </w:rPr>
        <w:t>﹒加强政策制度创新。抢抓自贸试验区建设机遇，放大中国</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江苏</w:t>
      </w:r>
      <w:r w:rsidRPr="00943480">
        <w:rPr>
          <w:rFonts w:ascii="Arial" w:eastAsia="宋体" w:hAnsi="Arial" w:cs="Arial"/>
          <w:color w:val="333333"/>
          <w:kern w:val="0"/>
          <w:sz w:val="24"/>
          <w:szCs w:val="24"/>
        </w:rPr>
        <w:t>)</w:t>
      </w:r>
      <w:r w:rsidRPr="00943480">
        <w:rPr>
          <w:rFonts w:ascii="Arial" w:eastAsia="宋体" w:hAnsi="Arial" w:cs="Arial"/>
          <w:color w:val="333333"/>
          <w:kern w:val="0"/>
          <w:sz w:val="24"/>
          <w:szCs w:val="24"/>
        </w:rPr>
        <w:t>自由贸易试验区南京片区与市各板块联动创新效应，立足新医药与生命健康产业特点，在人才、土地、税收、海关、金融、贸易、服务保障等方面用好用活优惠政策和扶持服务措施，推进相关政策制度创新，实现产业跨越发展。推动创新药物研发试剂快速通关、打通世界前沿新药国内临床研究通道，打通创新产品议价与定价快速通道，打通活体运输便捷通道。（责任单位：市商务局、</w:t>
      </w:r>
      <w:proofErr w:type="gramStart"/>
      <w:r w:rsidRPr="00943480">
        <w:rPr>
          <w:rFonts w:ascii="Arial" w:eastAsia="宋体" w:hAnsi="Arial" w:cs="Arial"/>
          <w:color w:val="333333"/>
          <w:kern w:val="0"/>
          <w:sz w:val="24"/>
          <w:szCs w:val="24"/>
        </w:rPr>
        <w:t>市发改委</w:t>
      </w:r>
      <w:proofErr w:type="gramEnd"/>
      <w:r w:rsidRPr="00943480">
        <w:rPr>
          <w:rFonts w:ascii="Arial" w:eastAsia="宋体" w:hAnsi="Arial" w:cs="Arial"/>
          <w:color w:val="333333"/>
          <w:kern w:val="0"/>
          <w:sz w:val="24"/>
          <w:szCs w:val="24"/>
        </w:rPr>
        <w:t>、市工信局、市科技局、市财政局、市卫健委、市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保局、市市场监管局、市委组织部、市规划资源局、市税务局、市金融监管局、金陵海关、市生态环境局、江北新区、各相关区）</w:t>
      </w:r>
    </w:p>
    <w:p w14:paraId="620755D1"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2</w:t>
      </w:r>
      <w:r w:rsidRPr="00943480">
        <w:rPr>
          <w:rFonts w:ascii="Arial" w:eastAsia="宋体" w:hAnsi="Arial" w:cs="Arial"/>
          <w:color w:val="333333"/>
          <w:kern w:val="0"/>
          <w:sz w:val="24"/>
          <w:szCs w:val="24"/>
        </w:rPr>
        <w:t>﹒加强先行示范区建设。依托自贸试验区南京片区，建立新医药与生命健康产业先行示范区，积极争取国家</w:t>
      </w:r>
      <w:proofErr w:type="gramStart"/>
      <w:r w:rsidRPr="00943480">
        <w:rPr>
          <w:rFonts w:ascii="Arial" w:eastAsia="宋体" w:hAnsi="Arial" w:cs="Arial"/>
          <w:color w:val="333333"/>
          <w:kern w:val="0"/>
          <w:sz w:val="24"/>
          <w:szCs w:val="24"/>
        </w:rPr>
        <w:t>卫健委支持</w:t>
      </w:r>
      <w:proofErr w:type="gramEnd"/>
      <w:r w:rsidRPr="00943480">
        <w:rPr>
          <w:rFonts w:ascii="Arial" w:eastAsia="宋体" w:hAnsi="Arial" w:cs="Arial"/>
          <w:color w:val="333333"/>
          <w:kern w:val="0"/>
          <w:sz w:val="24"/>
          <w:szCs w:val="24"/>
        </w:rPr>
        <w:t>，推进干细胞治疗先行先试；积</w:t>
      </w:r>
      <w:r w:rsidRPr="00943480">
        <w:rPr>
          <w:rFonts w:ascii="Arial" w:eastAsia="宋体" w:hAnsi="Arial" w:cs="Arial"/>
          <w:color w:val="333333"/>
          <w:kern w:val="0"/>
          <w:sz w:val="24"/>
          <w:szCs w:val="24"/>
        </w:rPr>
        <w:lastRenderedPageBreak/>
        <w:t>极争取国家药监局支持，推进医疗机构开展国际多中心临床试验，与国外机构同步开展重大疾病新药临床试验，推进医疗机构开展临床急需少量进口药品、医疗器械先行先试，相关的临床使用数据可以用于进口药品和医疗器械的注册申请；积极推进非处方药开展无人售药试点先行先试。（责任单位：江北新区、市卫健委、市市场监管局、</w:t>
      </w:r>
      <w:proofErr w:type="gramStart"/>
      <w:r w:rsidRPr="00943480">
        <w:rPr>
          <w:rFonts w:ascii="Arial" w:eastAsia="宋体" w:hAnsi="Arial" w:cs="Arial"/>
          <w:color w:val="333333"/>
          <w:kern w:val="0"/>
          <w:sz w:val="24"/>
          <w:szCs w:val="24"/>
        </w:rPr>
        <w:t>市发改委</w:t>
      </w:r>
      <w:proofErr w:type="gramEnd"/>
      <w:r w:rsidRPr="00943480">
        <w:rPr>
          <w:rFonts w:ascii="Arial" w:eastAsia="宋体" w:hAnsi="Arial" w:cs="Arial"/>
          <w:color w:val="333333"/>
          <w:kern w:val="0"/>
          <w:sz w:val="24"/>
          <w:szCs w:val="24"/>
        </w:rPr>
        <w:t>、市科技局、市工信局、金陵海关）</w:t>
      </w:r>
    </w:p>
    <w:p w14:paraId="4E741C20"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3</w:t>
      </w:r>
      <w:r w:rsidRPr="00943480">
        <w:rPr>
          <w:rFonts w:ascii="Arial" w:eastAsia="宋体" w:hAnsi="Arial" w:cs="Arial"/>
          <w:color w:val="333333"/>
          <w:kern w:val="0"/>
          <w:sz w:val="24"/>
          <w:szCs w:val="24"/>
        </w:rPr>
        <w:t>﹒加强创新产品推广应用。由市工信局、市卫健委、市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保局、市财政局和市科技局组建市生物医药创新产品进医院推广应用小组，编制《南京市生物医药核心创新产品清单》，并联合行文发至全市医疗机构。市</w:t>
      </w:r>
      <w:proofErr w:type="gramStart"/>
      <w:r w:rsidRPr="00943480">
        <w:rPr>
          <w:rFonts w:ascii="Arial" w:eastAsia="宋体" w:hAnsi="Arial" w:cs="Arial"/>
          <w:color w:val="333333"/>
          <w:kern w:val="0"/>
          <w:sz w:val="24"/>
          <w:szCs w:val="24"/>
        </w:rPr>
        <w:t>卫健委和</w:t>
      </w:r>
      <w:proofErr w:type="gramEnd"/>
      <w:r w:rsidRPr="00943480">
        <w:rPr>
          <w:rFonts w:ascii="Arial" w:eastAsia="宋体" w:hAnsi="Arial" w:cs="Arial"/>
          <w:color w:val="333333"/>
          <w:kern w:val="0"/>
          <w:sz w:val="24"/>
          <w:szCs w:val="24"/>
        </w:rPr>
        <w:t>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保局指导全市医疗机构使用生物医药新产品，市</w:t>
      </w:r>
      <w:proofErr w:type="gramStart"/>
      <w:r w:rsidRPr="00943480">
        <w:rPr>
          <w:rFonts w:ascii="Arial" w:eastAsia="宋体" w:hAnsi="Arial" w:cs="Arial"/>
          <w:color w:val="333333"/>
          <w:kern w:val="0"/>
          <w:sz w:val="24"/>
          <w:szCs w:val="24"/>
        </w:rPr>
        <w:t>卫健委会同</w:t>
      </w:r>
      <w:proofErr w:type="gramEnd"/>
      <w:r w:rsidRPr="00943480">
        <w:rPr>
          <w:rFonts w:ascii="Arial" w:eastAsia="宋体" w:hAnsi="Arial" w:cs="Arial"/>
          <w:color w:val="333333"/>
          <w:kern w:val="0"/>
          <w:sz w:val="24"/>
          <w:szCs w:val="24"/>
        </w:rPr>
        <w:t>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保局、财政局制定医疗机构生物医药新产品推广使用考核实施办法；市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保局在市级事权范围内，将当年《清单》中创新产品纳入市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目录、采购目录，通过市药品、医用耗材阳光监管平台对市域内各医疗机构采购使用进行调度、监测，定期通报并纳入年度结算考核。市科技局负责对使用《清单》内的生物医药创新产品表现突出的医疗机构在其申报支持项目或奖项评选时，给予支持。对《清单》内的生物医药创新产品，各医疗机构应自创新产品纳入省药品采购平台开始，一个月内完成采购手续，简化相关程序；建立《清单》产品进入的审批绿色通道，不得以召开药事会、药占比、医院用药目录数量限制等为由，影响对《清单》产品的配备使用；在满足其医疗需要的前提下，同类品种中优先使用《清单》内生物医药新产品。支持医疗机构为我市医药、器械创新产品提供应用场景，拓展创新产品临床应用范围。（责任单位：市工信局、市卫健委、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保局、市财政局、市科技局、江北新区、各相关区）</w:t>
      </w:r>
    </w:p>
    <w:p w14:paraId="5767D25D"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4</w:t>
      </w:r>
      <w:r w:rsidRPr="00943480">
        <w:rPr>
          <w:rFonts w:ascii="Arial" w:eastAsia="宋体" w:hAnsi="Arial" w:cs="Arial"/>
          <w:color w:val="333333"/>
          <w:kern w:val="0"/>
          <w:sz w:val="24"/>
          <w:szCs w:val="24"/>
        </w:rPr>
        <w:t>﹒加强金融体系创新。吸引国内、外投融资机构来宁设点，拓宽新医药与生命健康产业企业融资渠道。构筑多层次股权投资基金体系，涵盖初期研发、项目落地、股权投资、新药引进、企业并购以及海外拓展等领域。鼓励新医药与生命健康产业天使投资、创业投资、私</w:t>
      </w:r>
      <w:proofErr w:type="gramStart"/>
      <w:r w:rsidRPr="00943480">
        <w:rPr>
          <w:rFonts w:ascii="Arial" w:eastAsia="宋体" w:hAnsi="Arial" w:cs="Arial"/>
          <w:color w:val="333333"/>
          <w:kern w:val="0"/>
          <w:sz w:val="24"/>
          <w:szCs w:val="24"/>
        </w:rPr>
        <w:t>募股权投资</w:t>
      </w:r>
      <w:proofErr w:type="gramEnd"/>
      <w:r w:rsidRPr="00943480">
        <w:rPr>
          <w:rFonts w:ascii="Arial" w:eastAsia="宋体" w:hAnsi="Arial" w:cs="Arial"/>
          <w:color w:val="333333"/>
          <w:kern w:val="0"/>
          <w:sz w:val="24"/>
          <w:szCs w:val="24"/>
        </w:rPr>
        <w:t>等投资基金集聚发展，对符合条件的投资基金给予开办奖励、增资奖励、投资奖励和风险补偿。发挥市、</w:t>
      </w:r>
      <w:proofErr w:type="gramStart"/>
      <w:r w:rsidRPr="00943480">
        <w:rPr>
          <w:rFonts w:ascii="Arial" w:eastAsia="宋体" w:hAnsi="Arial" w:cs="Arial"/>
          <w:color w:val="333333"/>
          <w:kern w:val="0"/>
          <w:sz w:val="24"/>
          <w:szCs w:val="24"/>
        </w:rPr>
        <w:t>区引导</w:t>
      </w:r>
      <w:proofErr w:type="gramEnd"/>
      <w:r w:rsidRPr="00943480">
        <w:rPr>
          <w:rFonts w:ascii="Arial" w:eastAsia="宋体" w:hAnsi="Arial" w:cs="Arial"/>
          <w:color w:val="333333"/>
          <w:kern w:val="0"/>
          <w:sz w:val="24"/>
          <w:szCs w:val="24"/>
        </w:rPr>
        <w:t>基金作用，通过发起或参股基金等方式，吸引撬动社会各类资本积极参与，以市场化运作机制，引导设立</w:t>
      </w:r>
      <w:r w:rsidRPr="00943480">
        <w:rPr>
          <w:rFonts w:ascii="Arial" w:eastAsia="宋体" w:hAnsi="Arial" w:cs="Arial"/>
          <w:color w:val="333333"/>
          <w:kern w:val="0"/>
          <w:sz w:val="24"/>
          <w:szCs w:val="24"/>
        </w:rPr>
        <w:t>200</w:t>
      </w:r>
      <w:r w:rsidRPr="00943480">
        <w:rPr>
          <w:rFonts w:ascii="Arial" w:eastAsia="宋体" w:hAnsi="Arial" w:cs="Arial"/>
          <w:color w:val="333333"/>
          <w:kern w:val="0"/>
          <w:sz w:val="24"/>
          <w:szCs w:val="24"/>
        </w:rPr>
        <w:t>亿元总规模新医药与生命健康产业投资基金群。鼓励在宁金融机构提高对新医药与健康产业的信贷倾斜，支持其针对我市产业发展设立专项信贷产品和抵质押贷款业务创新；鼓励各类在宁保险机构提供新医药与生命健康产品责任保险等定制</w:t>
      </w:r>
      <w:proofErr w:type="gramStart"/>
      <w:r w:rsidRPr="00943480">
        <w:rPr>
          <w:rFonts w:ascii="Arial" w:eastAsia="宋体" w:hAnsi="Arial" w:cs="Arial"/>
          <w:color w:val="333333"/>
          <w:kern w:val="0"/>
          <w:sz w:val="24"/>
          <w:szCs w:val="24"/>
        </w:rPr>
        <w:t>化综合</w:t>
      </w:r>
      <w:proofErr w:type="gramEnd"/>
      <w:r w:rsidRPr="00943480">
        <w:rPr>
          <w:rFonts w:ascii="Arial" w:eastAsia="宋体" w:hAnsi="Arial" w:cs="Arial"/>
          <w:color w:val="333333"/>
          <w:kern w:val="0"/>
          <w:sz w:val="24"/>
          <w:szCs w:val="24"/>
        </w:rPr>
        <w:t>保险产品，创新开辟医药行业的特殊险种快速理赔绿色通道。（责任单位：市金融监管局、市财政局、市工信局、市科技局、江北新区、建</w:t>
      </w:r>
      <w:proofErr w:type="gramStart"/>
      <w:r w:rsidRPr="00943480">
        <w:rPr>
          <w:rFonts w:ascii="Arial" w:eastAsia="宋体" w:hAnsi="Arial" w:cs="Arial"/>
          <w:color w:val="333333"/>
          <w:kern w:val="0"/>
          <w:sz w:val="24"/>
          <w:szCs w:val="24"/>
        </w:rPr>
        <w:t>邺</w:t>
      </w:r>
      <w:proofErr w:type="gramEnd"/>
      <w:r w:rsidRPr="00943480">
        <w:rPr>
          <w:rFonts w:ascii="Arial" w:eastAsia="宋体" w:hAnsi="Arial" w:cs="Arial"/>
          <w:color w:val="333333"/>
          <w:kern w:val="0"/>
          <w:sz w:val="24"/>
          <w:szCs w:val="24"/>
        </w:rPr>
        <w:t>区等各相关区）</w:t>
      </w:r>
    </w:p>
    <w:p w14:paraId="44FE125A"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lastRenderedPageBreak/>
        <w:t>四、保障措施</w:t>
      </w:r>
    </w:p>
    <w:p w14:paraId="6212D4FE"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（一）组织领导</w:t>
      </w:r>
    </w:p>
    <w:p w14:paraId="07820D5C"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在产业地标建设领导小组，下设新医药与生命健康小组，由市委、市政府领导任组长，成员单位为市委组织部、</w:t>
      </w:r>
      <w:proofErr w:type="gramStart"/>
      <w:r w:rsidRPr="00943480">
        <w:rPr>
          <w:rFonts w:ascii="Arial" w:eastAsia="宋体" w:hAnsi="Arial" w:cs="Arial"/>
          <w:color w:val="333333"/>
          <w:kern w:val="0"/>
          <w:sz w:val="24"/>
          <w:szCs w:val="24"/>
        </w:rPr>
        <w:t>市发改委</w:t>
      </w:r>
      <w:proofErr w:type="gramEnd"/>
      <w:r w:rsidRPr="00943480">
        <w:rPr>
          <w:rFonts w:ascii="Arial" w:eastAsia="宋体" w:hAnsi="Arial" w:cs="Arial"/>
          <w:color w:val="333333"/>
          <w:kern w:val="0"/>
          <w:sz w:val="24"/>
          <w:szCs w:val="24"/>
        </w:rPr>
        <w:t>、市科技局、市工信局、市民政局、市财政局、市规划资源局、市生态环境局、市商务局、</w:t>
      </w:r>
      <w:proofErr w:type="gramStart"/>
      <w:r w:rsidRPr="00943480">
        <w:rPr>
          <w:rFonts w:ascii="Arial" w:eastAsia="宋体" w:hAnsi="Arial" w:cs="Arial"/>
          <w:color w:val="333333"/>
          <w:kern w:val="0"/>
          <w:sz w:val="24"/>
          <w:szCs w:val="24"/>
        </w:rPr>
        <w:t>市投促局</w:t>
      </w:r>
      <w:proofErr w:type="gramEnd"/>
      <w:r w:rsidRPr="00943480">
        <w:rPr>
          <w:rFonts w:ascii="Arial" w:eastAsia="宋体" w:hAnsi="Arial" w:cs="Arial"/>
          <w:color w:val="333333"/>
          <w:kern w:val="0"/>
          <w:sz w:val="24"/>
          <w:szCs w:val="24"/>
        </w:rPr>
        <w:t>、市卫健委、市市场监管局、市体育局、市统计局、市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和市金融监管局，具体工作由市工信局牵头，对全市新医药与生命健康产业发展工作统一组织、协调和监督，协调全市资源，统筹召开联席会议，根据部门职能对应的产业领域，完善责任分工，各区（开发区）和板块落实属地主体责任，健全工作制度。（责任单位：市工信局、市委组织部、</w:t>
      </w:r>
      <w:proofErr w:type="gramStart"/>
      <w:r w:rsidRPr="00943480">
        <w:rPr>
          <w:rFonts w:ascii="Arial" w:eastAsia="宋体" w:hAnsi="Arial" w:cs="Arial"/>
          <w:color w:val="333333"/>
          <w:kern w:val="0"/>
          <w:sz w:val="24"/>
          <w:szCs w:val="24"/>
        </w:rPr>
        <w:t>市发改委</w:t>
      </w:r>
      <w:proofErr w:type="gramEnd"/>
      <w:r w:rsidRPr="00943480">
        <w:rPr>
          <w:rFonts w:ascii="Arial" w:eastAsia="宋体" w:hAnsi="Arial" w:cs="Arial"/>
          <w:color w:val="333333"/>
          <w:kern w:val="0"/>
          <w:sz w:val="24"/>
          <w:szCs w:val="24"/>
        </w:rPr>
        <w:t>、市科技局、市民政局、市财政局、市规划资源局、市生态环境局、市商务局、</w:t>
      </w:r>
      <w:proofErr w:type="gramStart"/>
      <w:r w:rsidRPr="00943480">
        <w:rPr>
          <w:rFonts w:ascii="Arial" w:eastAsia="宋体" w:hAnsi="Arial" w:cs="Arial"/>
          <w:color w:val="333333"/>
          <w:kern w:val="0"/>
          <w:sz w:val="24"/>
          <w:szCs w:val="24"/>
        </w:rPr>
        <w:t>市投促局</w:t>
      </w:r>
      <w:proofErr w:type="gramEnd"/>
      <w:r w:rsidRPr="00943480">
        <w:rPr>
          <w:rFonts w:ascii="Arial" w:eastAsia="宋体" w:hAnsi="Arial" w:cs="Arial"/>
          <w:color w:val="333333"/>
          <w:kern w:val="0"/>
          <w:sz w:val="24"/>
          <w:szCs w:val="24"/>
        </w:rPr>
        <w:t>、市卫健委、市市场监管局、市体育局、市统计局、市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保局、市金融监管局、江北新区、各相关区）</w:t>
      </w:r>
    </w:p>
    <w:p w14:paraId="23474A48"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（二）考核评价</w:t>
      </w:r>
    </w:p>
    <w:p w14:paraId="00F9670E"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建立产业地标推进考核评价体系，并纳入全市高质量发展考核体系，根据不同部门、不同板块的职责分工、任务特点，把结果性指标与过程性情况有机结合，明确市对区、市对各相关部门考核指标和任务，坚持日常考核和年终考核、定性评价和定量评分相结合，增强考核方式的完整性和系统性。（责任单位：市工信局、市委组织部、</w:t>
      </w:r>
      <w:proofErr w:type="gramStart"/>
      <w:r w:rsidRPr="00943480">
        <w:rPr>
          <w:rFonts w:ascii="Arial" w:eastAsia="宋体" w:hAnsi="Arial" w:cs="Arial"/>
          <w:color w:val="333333"/>
          <w:kern w:val="0"/>
          <w:sz w:val="24"/>
          <w:szCs w:val="24"/>
        </w:rPr>
        <w:t>市发改委</w:t>
      </w:r>
      <w:proofErr w:type="gramEnd"/>
      <w:r w:rsidRPr="00943480">
        <w:rPr>
          <w:rFonts w:ascii="Arial" w:eastAsia="宋体" w:hAnsi="Arial" w:cs="Arial"/>
          <w:color w:val="333333"/>
          <w:kern w:val="0"/>
          <w:sz w:val="24"/>
          <w:szCs w:val="24"/>
        </w:rPr>
        <w:t>、市科技局、市民政局、市财政局、市规划资源局、市生态环境局、市商务局、</w:t>
      </w:r>
      <w:proofErr w:type="gramStart"/>
      <w:r w:rsidRPr="00943480">
        <w:rPr>
          <w:rFonts w:ascii="Arial" w:eastAsia="宋体" w:hAnsi="Arial" w:cs="Arial"/>
          <w:color w:val="333333"/>
          <w:kern w:val="0"/>
          <w:sz w:val="24"/>
          <w:szCs w:val="24"/>
        </w:rPr>
        <w:t>市投促局</w:t>
      </w:r>
      <w:proofErr w:type="gramEnd"/>
      <w:r w:rsidRPr="00943480">
        <w:rPr>
          <w:rFonts w:ascii="Arial" w:eastAsia="宋体" w:hAnsi="Arial" w:cs="Arial"/>
          <w:color w:val="333333"/>
          <w:kern w:val="0"/>
          <w:sz w:val="24"/>
          <w:szCs w:val="24"/>
        </w:rPr>
        <w:t>、市卫健委、市市场监管局、市体育局、市统计局、市</w:t>
      </w:r>
      <w:proofErr w:type="gramStart"/>
      <w:r w:rsidRPr="00943480">
        <w:rPr>
          <w:rFonts w:ascii="Arial" w:eastAsia="宋体" w:hAnsi="Arial" w:cs="Arial"/>
          <w:color w:val="333333"/>
          <w:kern w:val="0"/>
          <w:sz w:val="24"/>
          <w:szCs w:val="24"/>
        </w:rPr>
        <w:t>医</w:t>
      </w:r>
      <w:proofErr w:type="gramEnd"/>
      <w:r w:rsidRPr="00943480">
        <w:rPr>
          <w:rFonts w:ascii="Arial" w:eastAsia="宋体" w:hAnsi="Arial" w:cs="Arial"/>
          <w:color w:val="333333"/>
          <w:kern w:val="0"/>
          <w:sz w:val="24"/>
          <w:szCs w:val="24"/>
        </w:rPr>
        <w:t>保局、市金融监管局、江北新区、各相关区）</w:t>
      </w:r>
    </w:p>
    <w:p w14:paraId="7AF32EB8"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（三）空间保障</w:t>
      </w:r>
    </w:p>
    <w:p w14:paraId="5E54303F"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在符合规划的前提下，优先保障新医药与生命健康产业重大项目落地；支持企业对厂房设施等合理化改造，拓展发展空间；在确保产业集聚区主体功能和环境质量的前提下，根据各园区的不同定位，开展环境容量评价，在环境准入上予以倾斜，引导项目集聚发展，实现环境容量高效利用。（责任单位：市规划资源局、市生态环境局、市工信局、市科技局、江北新区、各相关区）</w:t>
      </w:r>
    </w:p>
    <w:p w14:paraId="5ECBB960"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（四）资金保障</w:t>
      </w:r>
    </w:p>
    <w:p w14:paraId="48938592"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r w:rsidRPr="00943480">
        <w:rPr>
          <w:rFonts w:ascii="Arial" w:eastAsia="宋体" w:hAnsi="Arial" w:cs="Arial"/>
          <w:color w:val="333333"/>
          <w:kern w:val="0"/>
          <w:sz w:val="24"/>
          <w:szCs w:val="24"/>
        </w:rPr>
        <w:t>深入实施财政支持政策，做好重点项目财政支持引导。加强全市高位统筹，加大对各产业园区政策和资金支持。探讨在政府引导基金基础上增设产业专项子基金，引导国有资本、撬动社会资本投入，激活市场主体活力，吸引产业投资基金和创业投资机构投资新医药与生命健康产业项目，建立覆盖全链条的资本支持方式。江北新区和各相关区要围绕打造新医药与生命健康产业地</w:t>
      </w:r>
      <w:r w:rsidRPr="00943480">
        <w:rPr>
          <w:rFonts w:ascii="Arial" w:eastAsia="宋体" w:hAnsi="Arial" w:cs="Arial"/>
          <w:color w:val="333333"/>
          <w:kern w:val="0"/>
          <w:sz w:val="24"/>
          <w:szCs w:val="24"/>
        </w:rPr>
        <w:lastRenderedPageBreak/>
        <w:t>标，制定相关政策。（责任单位：市财政局、市金融监管局、市工信局、市科技局、江北新区、各相关区）</w:t>
      </w:r>
    </w:p>
    <w:p w14:paraId="5E7808E1" w14:textId="77777777" w:rsidR="00943480" w:rsidRPr="00943480" w:rsidRDefault="00943480" w:rsidP="00943480">
      <w:pPr>
        <w:widowControl/>
        <w:shd w:val="clear" w:color="auto" w:fill="FFFFFF"/>
        <w:spacing w:line="420" w:lineRule="atLeast"/>
        <w:ind w:firstLine="480"/>
        <w:jc w:val="left"/>
        <w:rPr>
          <w:rFonts w:ascii="Arial" w:eastAsia="宋体" w:hAnsi="Arial" w:cs="Arial"/>
          <w:color w:val="333333"/>
          <w:kern w:val="0"/>
          <w:sz w:val="24"/>
          <w:szCs w:val="24"/>
        </w:rPr>
      </w:pPr>
    </w:p>
    <w:p w14:paraId="3DF98D95" w14:textId="77777777" w:rsidR="00943480" w:rsidRPr="00943480" w:rsidRDefault="00943480" w:rsidP="00943480">
      <w:pPr>
        <w:widowControl/>
        <w:shd w:val="clear" w:color="auto" w:fill="FFFFFF"/>
        <w:spacing w:line="420" w:lineRule="atLeast"/>
        <w:ind w:firstLine="480"/>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新医药与生命健康产业目标任务分解</w:t>
      </w:r>
    </w:p>
    <w:tbl>
      <w:tblPr>
        <w:tblW w:w="8670" w:type="dxa"/>
        <w:jc w:val="center"/>
        <w:tblCellMar>
          <w:left w:w="0" w:type="dxa"/>
          <w:right w:w="0" w:type="dxa"/>
        </w:tblCellMar>
        <w:tblLook w:val="04A0" w:firstRow="1" w:lastRow="0" w:firstColumn="1" w:lastColumn="0" w:noHBand="0" w:noVBand="1"/>
      </w:tblPr>
      <w:tblGrid>
        <w:gridCol w:w="2625"/>
        <w:gridCol w:w="3120"/>
        <w:gridCol w:w="2925"/>
      </w:tblGrid>
      <w:tr w:rsidR="00943480" w:rsidRPr="00943480" w14:paraId="089BE1A2" w14:textId="77777777" w:rsidTr="00943480">
        <w:trPr>
          <w:trHeight w:val="525"/>
          <w:jc w:val="center"/>
        </w:trPr>
        <w:tc>
          <w:tcPr>
            <w:tcW w:w="2625" w:type="dxa"/>
            <w:vMerge w:val="restart"/>
            <w:tcBorders>
              <w:top w:val="single" w:sz="6" w:space="0" w:color="auto"/>
              <w:left w:val="single" w:sz="6" w:space="0" w:color="auto"/>
              <w:bottom w:val="single" w:sz="6" w:space="0" w:color="auto"/>
              <w:right w:val="single" w:sz="6" w:space="0" w:color="auto"/>
            </w:tcBorders>
            <w:vAlign w:val="center"/>
            <w:hideMark/>
          </w:tcPr>
          <w:p w14:paraId="29B971E9"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单位</w:t>
            </w:r>
          </w:p>
        </w:tc>
        <w:tc>
          <w:tcPr>
            <w:tcW w:w="6045" w:type="dxa"/>
            <w:gridSpan w:val="2"/>
            <w:tcBorders>
              <w:top w:val="single" w:sz="6" w:space="0" w:color="auto"/>
              <w:left w:val="single" w:sz="6" w:space="0" w:color="auto"/>
              <w:bottom w:val="single" w:sz="6" w:space="0" w:color="auto"/>
              <w:right w:val="single" w:sz="6" w:space="0" w:color="auto"/>
            </w:tcBorders>
            <w:vAlign w:val="center"/>
            <w:hideMark/>
          </w:tcPr>
          <w:p w14:paraId="4A53B6E2"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年度指标（亿元）</w:t>
            </w:r>
          </w:p>
        </w:tc>
      </w:tr>
      <w:tr w:rsidR="00943480" w:rsidRPr="00943480" w14:paraId="33452D04" w14:textId="77777777" w:rsidTr="00943480">
        <w:trPr>
          <w:trHeight w:val="52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F2BBC0C" w14:textId="77777777" w:rsidR="00943480" w:rsidRPr="00943480" w:rsidRDefault="00943480" w:rsidP="00943480">
            <w:pPr>
              <w:widowControl/>
              <w:jc w:val="left"/>
              <w:rPr>
                <w:rFonts w:ascii="Arial" w:eastAsia="宋体" w:hAnsi="Arial" w:cs="Arial"/>
                <w:color w:val="333333"/>
                <w:kern w:val="0"/>
                <w:sz w:val="24"/>
                <w:szCs w:val="24"/>
              </w:rPr>
            </w:pPr>
          </w:p>
        </w:tc>
        <w:tc>
          <w:tcPr>
            <w:tcW w:w="3120" w:type="dxa"/>
            <w:tcBorders>
              <w:top w:val="single" w:sz="6" w:space="0" w:color="auto"/>
              <w:left w:val="single" w:sz="6" w:space="0" w:color="auto"/>
              <w:bottom w:val="single" w:sz="6" w:space="0" w:color="auto"/>
              <w:right w:val="single" w:sz="6" w:space="0" w:color="auto"/>
            </w:tcBorders>
            <w:vAlign w:val="center"/>
            <w:hideMark/>
          </w:tcPr>
          <w:p w14:paraId="2BD9FB0B"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2022</w:t>
            </w:r>
            <w:r w:rsidRPr="00943480">
              <w:rPr>
                <w:rFonts w:ascii="Arial" w:eastAsia="宋体" w:hAnsi="Arial" w:cs="Arial"/>
                <w:color w:val="333333"/>
                <w:kern w:val="0"/>
                <w:sz w:val="24"/>
                <w:szCs w:val="24"/>
              </w:rPr>
              <w:t>年度（</w:t>
            </w:r>
            <w:r w:rsidRPr="00943480">
              <w:rPr>
                <w:rFonts w:ascii="Arial" w:eastAsia="宋体" w:hAnsi="Arial" w:cs="Arial"/>
                <w:color w:val="333333"/>
                <w:kern w:val="0"/>
                <w:sz w:val="24"/>
                <w:szCs w:val="24"/>
              </w:rPr>
              <w:t>3200</w:t>
            </w:r>
            <w:r w:rsidRPr="00943480">
              <w:rPr>
                <w:rFonts w:ascii="Arial" w:eastAsia="宋体" w:hAnsi="Arial" w:cs="Arial"/>
                <w:color w:val="333333"/>
                <w:kern w:val="0"/>
                <w:sz w:val="24"/>
                <w:szCs w:val="24"/>
              </w:rPr>
              <w:t>）</w:t>
            </w:r>
          </w:p>
        </w:tc>
        <w:tc>
          <w:tcPr>
            <w:tcW w:w="2925" w:type="dxa"/>
            <w:tcBorders>
              <w:top w:val="single" w:sz="6" w:space="0" w:color="auto"/>
              <w:left w:val="single" w:sz="6" w:space="0" w:color="auto"/>
              <w:bottom w:val="single" w:sz="6" w:space="0" w:color="auto"/>
              <w:right w:val="single" w:sz="6" w:space="0" w:color="auto"/>
            </w:tcBorders>
            <w:vAlign w:val="center"/>
            <w:hideMark/>
          </w:tcPr>
          <w:p w14:paraId="648090F0"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2025</w:t>
            </w:r>
            <w:r w:rsidRPr="00943480">
              <w:rPr>
                <w:rFonts w:ascii="Arial" w:eastAsia="宋体" w:hAnsi="Arial" w:cs="Arial"/>
                <w:color w:val="333333"/>
                <w:kern w:val="0"/>
                <w:sz w:val="24"/>
                <w:szCs w:val="24"/>
              </w:rPr>
              <w:t>年度（</w:t>
            </w:r>
            <w:r w:rsidRPr="00943480">
              <w:rPr>
                <w:rFonts w:ascii="Arial" w:eastAsia="宋体" w:hAnsi="Arial" w:cs="Arial"/>
                <w:color w:val="333333"/>
                <w:kern w:val="0"/>
                <w:sz w:val="24"/>
                <w:szCs w:val="24"/>
              </w:rPr>
              <w:t>5400</w:t>
            </w:r>
            <w:r w:rsidRPr="00943480">
              <w:rPr>
                <w:rFonts w:ascii="Arial" w:eastAsia="宋体" w:hAnsi="Arial" w:cs="Arial"/>
                <w:color w:val="333333"/>
                <w:kern w:val="0"/>
                <w:sz w:val="24"/>
                <w:szCs w:val="24"/>
              </w:rPr>
              <w:t>）</w:t>
            </w:r>
          </w:p>
        </w:tc>
      </w:tr>
      <w:tr w:rsidR="00943480" w:rsidRPr="00943480" w14:paraId="3CF79153" w14:textId="77777777" w:rsidTr="00943480">
        <w:trPr>
          <w:trHeight w:val="525"/>
          <w:jc w:val="center"/>
        </w:trPr>
        <w:tc>
          <w:tcPr>
            <w:tcW w:w="2625" w:type="dxa"/>
            <w:tcBorders>
              <w:top w:val="single" w:sz="6" w:space="0" w:color="auto"/>
              <w:left w:val="single" w:sz="6" w:space="0" w:color="auto"/>
              <w:bottom w:val="single" w:sz="6" w:space="0" w:color="auto"/>
              <w:right w:val="single" w:sz="6" w:space="0" w:color="auto"/>
            </w:tcBorders>
            <w:vAlign w:val="center"/>
            <w:hideMark/>
          </w:tcPr>
          <w:p w14:paraId="7FDCC685"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江北新区</w:t>
            </w:r>
          </w:p>
        </w:tc>
        <w:tc>
          <w:tcPr>
            <w:tcW w:w="3120" w:type="dxa"/>
            <w:tcBorders>
              <w:top w:val="single" w:sz="6" w:space="0" w:color="auto"/>
              <w:left w:val="single" w:sz="6" w:space="0" w:color="auto"/>
              <w:bottom w:val="single" w:sz="6" w:space="0" w:color="auto"/>
              <w:right w:val="single" w:sz="6" w:space="0" w:color="auto"/>
            </w:tcBorders>
            <w:vAlign w:val="center"/>
            <w:hideMark/>
          </w:tcPr>
          <w:p w14:paraId="53B8D4E0"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710</w:t>
            </w:r>
          </w:p>
        </w:tc>
        <w:tc>
          <w:tcPr>
            <w:tcW w:w="2925" w:type="dxa"/>
            <w:tcBorders>
              <w:top w:val="single" w:sz="6" w:space="0" w:color="auto"/>
              <w:left w:val="single" w:sz="6" w:space="0" w:color="auto"/>
              <w:bottom w:val="single" w:sz="6" w:space="0" w:color="auto"/>
              <w:right w:val="single" w:sz="6" w:space="0" w:color="auto"/>
            </w:tcBorders>
            <w:vAlign w:val="center"/>
            <w:hideMark/>
          </w:tcPr>
          <w:p w14:paraId="74CB7940"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1400</w:t>
            </w:r>
          </w:p>
        </w:tc>
      </w:tr>
      <w:tr w:rsidR="00943480" w:rsidRPr="00943480" w14:paraId="57475FE2" w14:textId="77777777" w:rsidTr="00943480">
        <w:trPr>
          <w:trHeight w:val="525"/>
          <w:jc w:val="center"/>
        </w:trPr>
        <w:tc>
          <w:tcPr>
            <w:tcW w:w="2625" w:type="dxa"/>
            <w:tcBorders>
              <w:top w:val="single" w:sz="6" w:space="0" w:color="auto"/>
              <w:left w:val="single" w:sz="6" w:space="0" w:color="auto"/>
              <w:bottom w:val="single" w:sz="6" w:space="0" w:color="auto"/>
              <w:right w:val="single" w:sz="6" w:space="0" w:color="auto"/>
            </w:tcBorders>
            <w:vAlign w:val="center"/>
            <w:hideMark/>
          </w:tcPr>
          <w:p w14:paraId="008EE769"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江宁区</w:t>
            </w:r>
          </w:p>
        </w:tc>
        <w:tc>
          <w:tcPr>
            <w:tcW w:w="3120" w:type="dxa"/>
            <w:tcBorders>
              <w:top w:val="single" w:sz="6" w:space="0" w:color="auto"/>
              <w:left w:val="single" w:sz="6" w:space="0" w:color="auto"/>
              <w:bottom w:val="single" w:sz="6" w:space="0" w:color="auto"/>
              <w:right w:val="single" w:sz="6" w:space="0" w:color="auto"/>
            </w:tcBorders>
            <w:vAlign w:val="center"/>
            <w:hideMark/>
          </w:tcPr>
          <w:p w14:paraId="05505AD9"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360</w:t>
            </w:r>
          </w:p>
        </w:tc>
        <w:tc>
          <w:tcPr>
            <w:tcW w:w="2925" w:type="dxa"/>
            <w:tcBorders>
              <w:top w:val="single" w:sz="6" w:space="0" w:color="auto"/>
              <w:left w:val="single" w:sz="6" w:space="0" w:color="auto"/>
              <w:bottom w:val="single" w:sz="6" w:space="0" w:color="auto"/>
              <w:right w:val="single" w:sz="6" w:space="0" w:color="auto"/>
            </w:tcBorders>
            <w:vAlign w:val="center"/>
            <w:hideMark/>
          </w:tcPr>
          <w:p w14:paraId="76B9F70B"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750</w:t>
            </w:r>
          </w:p>
        </w:tc>
      </w:tr>
      <w:tr w:rsidR="00943480" w:rsidRPr="00943480" w14:paraId="063540FC" w14:textId="77777777" w:rsidTr="00943480">
        <w:trPr>
          <w:trHeight w:val="525"/>
          <w:jc w:val="center"/>
        </w:trPr>
        <w:tc>
          <w:tcPr>
            <w:tcW w:w="2625" w:type="dxa"/>
            <w:tcBorders>
              <w:top w:val="single" w:sz="6" w:space="0" w:color="auto"/>
              <w:left w:val="single" w:sz="6" w:space="0" w:color="auto"/>
              <w:bottom w:val="single" w:sz="6" w:space="0" w:color="auto"/>
              <w:right w:val="single" w:sz="6" w:space="0" w:color="auto"/>
            </w:tcBorders>
            <w:vAlign w:val="center"/>
            <w:hideMark/>
          </w:tcPr>
          <w:p w14:paraId="6836377E"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栖霞区</w:t>
            </w:r>
          </w:p>
        </w:tc>
        <w:tc>
          <w:tcPr>
            <w:tcW w:w="3120" w:type="dxa"/>
            <w:tcBorders>
              <w:top w:val="single" w:sz="6" w:space="0" w:color="auto"/>
              <w:left w:val="single" w:sz="6" w:space="0" w:color="auto"/>
              <w:bottom w:val="single" w:sz="6" w:space="0" w:color="auto"/>
              <w:right w:val="single" w:sz="6" w:space="0" w:color="auto"/>
            </w:tcBorders>
            <w:vAlign w:val="center"/>
            <w:hideMark/>
          </w:tcPr>
          <w:p w14:paraId="02FBC72D"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340</w:t>
            </w:r>
          </w:p>
        </w:tc>
        <w:tc>
          <w:tcPr>
            <w:tcW w:w="2925" w:type="dxa"/>
            <w:tcBorders>
              <w:top w:val="single" w:sz="6" w:space="0" w:color="auto"/>
              <w:left w:val="single" w:sz="6" w:space="0" w:color="auto"/>
              <w:bottom w:val="single" w:sz="6" w:space="0" w:color="auto"/>
              <w:right w:val="single" w:sz="6" w:space="0" w:color="auto"/>
            </w:tcBorders>
            <w:vAlign w:val="center"/>
            <w:hideMark/>
          </w:tcPr>
          <w:p w14:paraId="1014BA21"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700</w:t>
            </w:r>
          </w:p>
        </w:tc>
      </w:tr>
      <w:tr w:rsidR="00943480" w:rsidRPr="00943480" w14:paraId="2BC67E1D" w14:textId="77777777" w:rsidTr="00943480">
        <w:trPr>
          <w:trHeight w:val="525"/>
          <w:jc w:val="center"/>
        </w:trPr>
        <w:tc>
          <w:tcPr>
            <w:tcW w:w="2625" w:type="dxa"/>
            <w:tcBorders>
              <w:top w:val="single" w:sz="6" w:space="0" w:color="auto"/>
              <w:left w:val="single" w:sz="6" w:space="0" w:color="auto"/>
              <w:bottom w:val="single" w:sz="6" w:space="0" w:color="auto"/>
              <w:right w:val="single" w:sz="6" w:space="0" w:color="auto"/>
            </w:tcBorders>
            <w:vAlign w:val="center"/>
            <w:hideMark/>
          </w:tcPr>
          <w:p w14:paraId="440AC87B"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玄武区</w:t>
            </w:r>
          </w:p>
        </w:tc>
        <w:tc>
          <w:tcPr>
            <w:tcW w:w="3120" w:type="dxa"/>
            <w:tcBorders>
              <w:top w:val="single" w:sz="6" w:space="0" w:color="auto"/>
              <w:left w:val="single" w:sz="6" w:space="0" w:color="auto"/>
              <w:bottom w:val="single" w:sz="6" w:space="0" w:color="auto"/>
              <w:right w:val="single" w:sz="6" w:space="0" w:color="auto"/>
            </w:tcBorders>
            <w:vAlign w:val="center"/>
            <w:hideMark/>
          </w:tcPr>
          <w:p w14:paraId="6CB9F4B7"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360</w:t>
            </w:r>
          </w:p>
        </w:tc>
        <w:tc>
          <w:tcPr>
            <w:tcW w:w="2925" w:type="dxa"/>
            <w:tcBorders>
              <w:top w:val="single" w:sz="6" w:space="0" w:color="auto"/>
              <w:left w:val="single" w:sz="6" w:space="0" w:color="auto"/>
              <w:bottom w:val="single" w:sz="6" w:space="0" w:color="auto"/>
              <w:right w:val="single" w:sz="6" w:space="0" w:color="auto"/>
            </w:tcBorders>
            <w:vAlign w:val="center"/>
            <w:hideMark/>
          </w:tcPr>
          <w:p w14:paraId="34EE0F1C"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480</w:t>
            </w:r>
          </w:p>
        </w:tc>
      </w:tr>
      <w:tr w:rsidR="00943480" w:rsidRPr="00943480" w14:paraId="14D4FC98" w14:textId="77777777" w:rsidTr="00943480">
        <w:trPr>
          <w:trHeight w:val="525"/>
          <w:jc w:val="center"/>
        </w:trPr>
        <w:tc>
          <w:tcPr>
            <w:tcW w:w="2625" w:type="dxa"/>
            <w:tcBorders>
              <w:top w:val="single" w:sz="6" w:space="0" w:color="auto"/>
              <w:left w:val="single" w:sz="6" w:space="0" w:color="auto"/>
              <w:bottom w:val="single" w:sz="6" w:space="0" w:color="auto"/>
              <w:right w:val="single" w:sz="6" w:space="0" w:color="auto"/>
            </w:tcBorders>
            <w:vAlign w:val="center"/>
            <w:hideMark/>
          </w:tcPr>
          <w:p w14:paraId="78E0E94F"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秦淮区</w:t>
            </w:r>
          </w:p>
        </w:tc>
        <w:tc>
          <w:tcPr>
            <w:tcW w:w="3120" w:type="dxa"/>
            <w:tcBorders>
              <w:top w:val="single" w:sz="6" w:space="0" w:color="auto"/>
              <w:left w:val="single" w:sz="6" w:space="0" w:color="auto"/>
              <w:bottom w:val="single" w:sz="6" w:space="0" w:color="auto"/>
              <w:right w:val="single" w:sz="6" w:space="0" w:color="auto"/>
            </w:tcBorders>
            <w:vAlign w:val="center"/>
            <w:hideMark/>
          </w:tcPr>
          <w:p w14:paraId="6763868A"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320</w:t>
            </w:r>
          </w:p>
        </w:tc>
        <w:tc>
          <w:tcPr>
            <w:tcW w:w="2925" w:type="dxa"/>
            <w:tcBorders>
              <w:top w:val="single" w:sz="6" w:space="0" w:color="auto"/>
              <w:left w:val="single" w:sz="6" w:space="0" w:color="auto"/>
              <w:bottom w:val="single" w:sz="6" w:space="0" w:color="auto"/>
              <w:right w:val="single" w:sz="6" w:space="0" w:color="auto"/>
            </w:tcBorders>
            <w:vAlign w:val="center"/>
            <w:hideMark/>
          </w:tcPr>
          <w:p w14:paraId="702D4C4C"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420</w:t>
            </w:r>
          </w:p>
        </w:tc>
      </w:tr>
      <w:tr w:rsidR="00943480" w:rsidRPr="00943480" w14:paraId="1A21AAA5" w14:textId="77777777" w:rsidTr="00943480">
        <w:trPr>
          <w:trHeight w:val="525"/>
          <w:jc w:val="center"/>
        </w:trPr>
        <w:tc>
          <w:tcPr>
            <w:tcW w:w="2625" w:type="dxa"/>
            <w:tcBorders>
              <w:top w:val="single" w:sz="6" w:space="0" w:color="auto"/>
              <w:left w:val="single" w:sz="6" w:space="0" w:color="auto"/>
              <w:bottom w:val="single" w:sz="6" w:space="0" w:color="auto"/>
              <w:right w:val="single" w:sz="6" w:space="0" w:color="auto"/>
            </w:tcBorders>
            <w:vAlign w:val="center"/>
            <w:hideMark/>
          </w:tcPr>
          <w:p w14:paraId="49EB05CC"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建</w:t>
            </w:r>
            <w:proofErr w:type="gramStart"/>
            <w:r w:rsidRPr="00943480">
              <w:rPr>
                <w:rFonts w:ascii="Arial" w:eastAsia="宋体" w:hAnsi="Arial" w:cs="Arial"/>
                <w:color w:val="333333"/>
                <w:kern w:val="0"/>
                <w:sz w:val="24"/>
                <w:szCs w:val="24"/>
              </w:rPr>
              <w:t>邺</w:t>
            </w:r>
            <w:proofErr w:type="gramEnd"/>
            <w:r w:rsidRPr="00943480">
              <w:rPr>
                <w:rFonts w:ascii="Arial" w:eastAsia="宋体" w:hAnsi="Arial" w:cs="Arial"/>
                <w:color w:val="333333"/>
                <w:kern w:val="0"/>
                <w:sz w:val="24"/>
                <w:szCs w:val="24"/>
              </w:rPr>
              <w:t>区</w:t>
            </w:r>
          </w:p>
        </w:tc>
        <w:tc>
          <w:tcPr>
            <w:tcW w:w="3120" w:type="dxa"/>
            <w:tcBorders>
              <w:top w:val="single" w:sz="6" w:space="0" w:color="auto"/>
              <w:left w:val="single" w:sz="6" w:space="0" w:color="auto"/>
              <w:bottom w:val="single" w:sz="6" w:space="0" w:color="auto"/>
              <w:right w:val="single" w:sz="6" w:space="0" w:color="auto"/>
            </w:tcBorders>
            <w:vAlign w:val="center"/>
            <w:hideMark/>
          </w:tcPr>
          <w:p w14:paraId="584A2DE3"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85</w:t>
            </w:r>
          </w:p>
        </w:tc>
        <w:tc>
          <w:tcPr>
            <w:tcW w:w="2925" w:type="dxa"/>
            <w:tcBorders>
              <w:top w:val="single" w:sz="6" w:space="0" w:color="auto"/>
              <w:left w:val="single" w:sz="6" w:space="0" w:color="auto"/>
              <w:bottom w:val="single" w:sz="6" w:space="0" w:color="auto"/>
              <w:right w:val="single" w:sz="6" w:space="0" w:color="auto"/>
            </w:tcBorders>
            <w:vAlign w:val="center"/>
            <w:hideMark/>
          </w:tcPr>
          <w:p w14:paraId="30CF41F2"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110</w:t>
            </w:r>
          </w:p>
        </w:tc>
      </w:tr>
      <w:tr w:rsidR="00943480" w:rsidRPr="00943480" w14:paraId="478C8CEE" w14:textId="77777777" w:rsidTr="00943480">
        <w:trPr>
          <w:trHeight w:val="525"/>
          <w:jc w:val="center"/>
        </w:trPr>
        <w:tc>
          <w:tcPr>
            <w:tcW w:w="2625" w:type="dxa"/>
            <w:tcBorders>
              <w:top w:val="single" w:sz="6" w:space="0" w:color="auto"/>
              <w:left w:val="single" w:sz="6" w:space="0" w:color="auto"/>
              <w:bottom w:val="single" w:sz="6" w:space="0" w:color="auto"/>
              <w:right w:val="single" w:sz="6" w:space="0" w:color="auto"/>
            </w:tcBorders>
            <w:vAlign w:val="center"/>
            <w:hideMark/>
          </w:tcPr>
          <w:p w14:paraId="189C4B98"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鼓楼区</w:t>
            </w:r>
          </w:p>
        </w:tc>
        <w:tc>
          <w:tcPr>
            <w:tcW w:w="3120" w:type="dxa"/>
            <w:tcBorders>
              <w:top w:val="single" w:sz="6" w:space="0" w:color="auto"/>
              <w:left w:val="single" w:sz="6" w:space="0" w:color="auto"/>
              <w:bottom w:val="single" w:sz="6" w:space="0" w:color="auto"/>
              <w:right w:val="single" w:sz="6" w:space="0" w:color="auto"/>
            </w:tcBorders>
            <w:vAlign w:val="center"/>
            <w:hideMark/>
          </w:tcPr>
          <w:p w14:paraId="3F0CBCEB"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555</w:t>
            </w:r>
          </w:p>
        </w:tc>
        <w:tc>
          <w:tcPr>
            <w:tcW w:w="2925" w:type="dxa"/>
            <w:tcBorders>
              <w:top w:val="single" w:sz="6" w:space="0" w:color="auto"/>
              <w:left w:val="single" w:sz="6" w:space="0" w:color="auto"/>
              <w:bottom w:val="single" w:sz="6" w:space="0" w:color="auto"/>
              <w:right w:val="single" w:sz="6" w:space="0" w:color="auto"/>
            </w:tcBorders>
            <w:vAlign w:val="center"/>
            <w:hideMark/>
          </w:tcPr>
          <w:p w14:paraId="66B84DC6"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740</w:t>
            </w:r>
          </w:p>
        </w:tc>
      </w:tr>
      <w:tr w:rsidR="00943480" w:rsidRPr="00943480" w14:paraId="28EDD103" w14:textId="77777777" w:rsidTr="00943480">
        <w:trPr>
          <w:trHeight w:val="525"/>
          <w:jc w:val="center"/>
        </w:trPr>
        <w:tc>
          <w:tcPr>
            <w:tcW w:w="2625" w:type="dxa"/>
            <w:tcBorders>
              <w:top w:val="single" w:sz="6" w:space="0" w:color="auto"/>
              <w:left w:val="single" w:sz="6" w:space="0" w:color="auto"/>
              <w:bottom w:val="single" w:sz="6" w:space="0" w:color="auto"/>
              <w:right w:val="single" w:sz="6" w:space="0" w:color="auto"/>
            </w:tcBorders>
            <w:vAlign w:val="center"/>
            <w:hideMark/>
          </w:tcPr>
          <w:p w14:paraId="760764CB"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浦口区</w:t>
            </w:r>
          </w:p>
        </w:tc>
        <w:tc>
          <w:tcPr>
            <w:tcW w:w="3120" w:type="dxa"/>
            <w:tcBorders>
              <w:top w:val="single" w:sz="6" w:space="0" w:color="auto"/>
              <w:left w:val="single" w:sz="6" w:space="0" w:color="auto"/>
              <w:bottom w:val="single" w:sz="6" w:space="0" w:color="auto"/>
              <w:right w:val="single" w:sz="6" w:space="0" w:color="auto"/>
            </w:tcBorders>
            <w:vAlign w:val="center"/>
            <w:hideMark/>
          </w:tcPr>
          <w:p w14:paraId="14B2B3E3"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30</w:t>
            </w:r>
          </w:p>
        </w:tc>
        <w:tc>
          <w:tcPr>
            <w:tcW w:w="2925" w:type="dxa"/>
            <w:tcBorders>
              <w:top w:val="single" w:sz="6" w:space="0" w:color="auto"/>
              <w:left w:val="single" w:sz="6" w:space="0" w:color="auto"/>
              <w:bottom w:val="single" w:sz="6" w:space="0" w:color="auto"/>
              <w:right w:val="single" w:sz="6" w:space="0" w:color="auto"/>
            </w:tcBorders>
            <w:vAlign w:val="center"/>
            <w:hideMark/>
          </w:tcPr>
          <w:p w14:paraId="26ABD3EC"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40</w:t>
            </w:r>
          </w:p>
        </w:tc>
      </w:tr>
      <w:tr w:rsidR="00943480" w:rsidRPr="00943480" w14:paraId="733BE3EB" w14:textId="77777777" w:rsidTr="00943480">
        <w:trPr>
          <w:trHeight w:val="525"/>
          <w:jc w:val="center"/>
        </w:trPr>
        <w:tc>
          <w:tcPr>
            <w:tcW w:w="2625" w:type="dxa"/>
            <w:tcBorders>
              <w:top w:val="single" w:sz="6" w:space="0" w:color="auto"/>
              <w:left w:val="single" w:sz="6" w:space="0" w:color="auto"/>
              <w:bottom w:val="single" w:sz="6" w:space="0" w:color="auto"/>
              <w:right w:val="single" w:sz="6" w:space="0" w:color="auto"/>
            </w:tcBorders>
            <w:vAlign w:val="center"/>
            <w:hideMark/>
          </w:tcPr>
          <w:p w14:paraId="4678367B"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雨花台区</w:t>
            </w:r>
          </w:p>
        </w:tc>
        <w:tc>
          <w:tcPr>
            <w:tcW w:w="3120" w:type="dxa"/>
            <w:tcBorders>
              <w:top w:val="single" w:sz="6" w:space="0" w:color="auto"/>
              <w:left w:val="single" w:sz="6" w:space="0" w:color="auto"/>
              <w:bottom w:val="single" w:sz="6" w:space="0" w:color="auto"/>
              <w:right w:val="single" w:sz="6" w:space="0" w:color="auto"/>
            </w:tcBorders>
            <w:vAlign w:val="center"/>
            <w:hideMark/>
          </w:tcPr>
          <w:p w14:paraId="0CCEF716"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195</w:t>
            </w:r>
          </w:p>
        </w:tc>
        <w:tc>
          <w:tcPr>
            <w:tcW w:w="2925" w:type="dxa"/>
            <w:tcBorders>
              <w:top w:val="single" w:sz="6" w:space="0" w:color="auto"/>
              <w:left w:val="single" w:sz="6" w:space="0" w:color="auto"/>
              <w:bottom w:val="single" w:sz="6" w:space="0" w:color="auto"/>
              <w:right w:val="single" w:sz="6" w:space="0" w:color="auto"/>
            </w:tcBorders>
            <w:vAlign w:val="center"/>
            <w:hideMark/>
          </w:tcPr>
          <w:p w14:paraId="7AE9B7C4"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250</w:t>
            </w:r>
          </w:p>
        </w:tc>
      </w:tr>
      <w:tr w:rsidR="00943480" w:rsidRPr="00943480" w14:paraId="48BB57C3" w14:textId="77777777" w:rsidTr="00943480">
        <w:trPr>
          <w:trHeight w:val="525"/>
          <w:jc w:val="center"/>
        </w:trPr>
        <w:tc>
          <w:tcPr>
            <w:tcW w:w="2625" w:type="dxa"/>
            <w:tcBorders>
              <w:top w:val="single" w:sz="6" w:space="0" w:color="auto"/>
              <w:left w:val="single" w:sz="6" w:space="0" w:color="auto"/>
              <w:bottom w:val="single" w:sz="6" w:space="0" w:color="auto"/>
              <w:right w:val="single" w:sz="6" w:space="0" w:color="auto"/>
            </w:tcBorders>
            <w:vAlign w:val="center"/>
            <w:hideMark/>
          </w:tcPr>
          <w:p w14:paraId="5BA3A92D"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proofErr w:type="gramStart"/>
            <w:r w:rsidRPr="00943480">
              <w:rPr>
                <w:rFonts w:ascii="Arial" w:eastAsia="宋体" w:hAnsi="Arial" w:cs="Arial"/>
                <w:color w:val="333333"/>
                <w:kern w:val="0"/>
                <w:sz w:val="24"/>
                <w:szCs w:val="24"/>
              </w:rPr>
              <w:t>六合区</w:t>
            </w:r>
            <w:proofErr w:type="gramEnd"/>
          </w:p>
        </w:tc>
        <w:tc>
          <w:tcPr>
            <w:tcW w:w="3120" w:type="dxa"/>
            <w:tcBorders>
              <w:top w:val="single" w:sz="6" w:space="0" w:color="auto"/>
              <w:left w:val="single" w:sz="6" w:space="0" w:color="auto"/>
              <w:bottom w:val="single" w:sz="6" w:space="0" w:color="auto"/>
              <w:right w:val="single" w:sz="6" w:space="0" w:color="auto"/>
            </w:tcBorders>
            <w:vAlign w:val="center"/>
            <w:hideMark/>
          </w:tcPr>
          <w:p w14:paraId="309E1876"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30</w:t>
            </w:r>
          </w:p>
        </w:tc>
        <w:tc>
          <w:tcPr>
            <w:tcW w:w="2925" w:type="dxa"/>
            <w:tcBorders>
              <w:top w:val="single" w:sz="6" w:space="0" w:color="auto"/>
              <w:left w:val="single" w:sz="6" w:space="0" w:color="auto"/>
              <w:bottom w:val="single" w:sz="6" w:space="0" w:color="auto"/>
              <w:right w:val="single" w:sz="6" w:space="0" w:color="auto"/>
            </w:tcBorders>
            <w:vAlign w:val="center"/>
            <w:hideMark/>
          </w:tcPr>
          <w:p w14:paraId="3C1D3D09"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40</w:t>
            </w:r>
          </w:p>
        </w:tc>
      </w:tr>
      <w:tr w:rsidR="00943480" w:rsidRPr="00943480" w14:paraId="1468FA29" w14:textId="77777777" w:rsidTr="00943480">
        <w:trPr>
          <w:trHeight w:val="525"/>
          <w:jc w:val="center"/>
        </w:trPr>
        <w:tc>
          <w:tcPr>
            <w:tcW w:w="2625" w:type="dxa"/>
            <w:tcBorders>
              <w:top w:val="single" w:sz="6" w:space="0" w:color="auto"/>
              <w:left w:val="single" w:sz="6" w:space="0" w:color="auto"/>
              <w:bottom w:val="single" w:sz="6" w:space="0" w:color="auto"/>
              <w:right w:val="single" w:sz="6" w:space="0" w:color="auto"/>
            </w:tcBorders>
            <w:vAlign w:val="center"/>
            <w:hideMark/>
          </w:tcPr>
          <w:p w14:paraId="5622B758"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溧水区</w:t>
            </w:r>
          </w:p>
        </w:tc>
        <w:tc>
          <w:tcPr>
            <w:tcW w:w="3120" w:type="dxa"/>
            <w:tcBorders>
              <w:top w:val="single" w:sz="6" w:space="0" w:color="auto"/>
              <w:left w:val="single" w:sz="6" w:space="0" w:color="auto"/>
              <w:bottom w:val="single" w:sz="6" w:space="0" w:color="auto"/>
              <w:right w:val="single" w:sz="6" w:space="0" w:color="auto"/>
            </w:tcBorders>
            <w:vAlign w:val="center"/>
            <w:hideMark/>
          </w:tcPr>
          <w:p w14:paraId="0CE08D34"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135</w:t>
            </w:r>
          </w:p>
        </w:tc>
        <w:tc>
          <w:tcPr>
            <w:tcW w:w="2925" w:type="dxa"/>
            <w:tcBorders>
              <w:top w:val="single" w:sz="6" w:space="0" w:color="auto"/>
              <w:left w:val="single" w:sz="6" w:space="0" w:color="auto"/>
              <w:bottom w:val="single" w:sz="6" w:space="0" w:color="auto"/>
              <w:right w:val="single" w:sz="6" w:space="0" w:color="auto"/>
            </w:tcBorders>
            <w:vAlign w:val="center"/>
            <w:hideMark/>
          </w:tcPr>
          <w:p w14:paraId="1D95BC64"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300</w:t>
            </w:r>
          </w:p>
        </w:tc>
      </w:tr>
      <w:tr w:rsidR="00943480" w:rsidRPr="00943480" w14:paraId="264741C3" w14:textId="77777777" w:rsidTr="00943480">
        <w:trPr>
          <w:trHeight w:val="525"/>
          <w:jc w:val="center"/>
        </w:trPr>
        <w:tc>
          <w:tcPr>
            <w:tcW w:w="2625" w:type="dxa"/>
            <w:tcBorders>
              <w:top w:val="single" w:sz="6" w:space="0" w:color="auto"/>
              <w:left w:val="single" w:sz="6" w:space="0" w:color="auto"/>
              <w:bottom w:val="single" w:sz="6" w:space="0" w:color="auto"/>
              <w:right w:val="single" w:sz="6" w:space="0" w:color="auto"/>
            </w:tcBorders>
            <w:vAlign w:val="center"/>
            <w:hideMark/>
          </w:tcPr>
          <w:p w14:paraId="1A51A25B"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高淳区</w:t>
            </w:r>
          </w:p>
        </w:tc>
        <w:tc>
          <w:tcPr>
            <w:tcW w:w="3120" w:type="dxa"/>
            <w:tcBorders>
              <w:top w:val="single" w:sz="6" w:space="0" w:color="auto"/>
              <w:left w:val="single" w:sz="6" w:space="0" w:color="auto"/>
              <w:bottom w:val="single" w:sz="6" w:space="0" w:color="auto"/>
              <w:right w:val="single" w:sz="6" w:space="0" w:color="auto"/>
            </w:tcBorders>
            <w:vAlign w:val="center"/>
            <w:hideMark/>
          </w:tcPr>
          <w:p w14:paraId="48CE3E05"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80</w:t>
            </w:r>
          </w:p>
        </w:tc>
        <w:tc>
          <w:tcPr>
            <w:tcW w:w="2925" w:type="dxa"/>
            <w:tcBorders>
              <w:top w:val="single" w:sz="6" w:space="0" w:color="auto"/>
              <w:left w:val="single" w:sz="6" w:space="0" w:color="auto"/>
              <w:bottom w:val="single" w:sz="6" w:space="0" w:color="auto"/>
              <w:right w:val="single" w:sz="6" w:space="0" w:color="auto"/>
            </w:tcBorders>
            <w:vAlign w:val="center"/>
            <w:hideMark/>
          </w:tcPr>
          <w:p w14:paraId="2B2E322A" w14:textId="77777777" w:rsidR="00943480" w:rsidRPr="00943480" w:rsidRDefault="00943480" w:rsidP="00943480">
            <w:pPr>
              <w:widowControl/>
              <w:spacing w:line="420" w:lineRule="atLeast"/>
              <w:jc w:val="center"/>
              <w:rPr>
                <w:rFonts w:ascii="Arial" w:eastAsia="宋体" w:hAnsi="Arial" w:cs="Arial"/>
                <w:color w:val="333333"/>
                <w:kern w:val="0"/>
                <w:sz w:val="24"/>
                <w:szCs w:val="24"/>
              </w:rPr>
            </w:pPr>
            <w:r w:rsidRPr="00943480">
              <w:rPr>
                <w:rFonts w:ascii="Arial" w:eastAsia="宋体" w:hAnsi="Arial" w:cs="Arial"/>
                <w:color w:val="333333"/>
                <w:kern w:val="0"/>
                <w:sz w:val="24"/>
                <w:szCs w:val="24"/>
              </w:rPr>
              <w:t>170</w:t>
            </w:r>
          </w:p>
        </w:tc>
      </w:tr>
    </w:tbl>
    <w:p w14:paraId="20C4DCE0" w14:textId="77777777" w:rsidR="00B5319F" w:rsidRDefault="00B5319F"/>
    <w:sectPr w:rsidR="00B531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80"/>
    <w:rsid w:val="00943480"/>
    <w:rsid w:val="00B53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1980"/>
  <w15:chartTrackingRefBased/>
  <w15:docId w15:val="{71191FDB-2FD1-4B0C-8AB4-3EDF0AFA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348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705704">
      <w:bodyDiv w:val="1"/>
      <w:marLeft w:val="0"/>
      <w:marRight w:val="0"/>
      <w:marTop w:val="0"/>
      <w:marBottom w:val="0"/>
      <w:divBdr>
        <w:top w:val="none" w:sz="0" w:space="0" w:color="auto"/>
        <w:left w:val="none" w:sz="0" w:space="0" w:color="auto"/>
        <w:bottom w:val="none" w:sz="0" w:space="0" w:color="auto"/>
        <w:right w:val="none" w:sz="0" w:space="0" w:color="auto"/>
      </w:divBdr>
      <w:divsChild>
        <w:div w:id="989822727">
          <w:marLeft w:val="0"/>
          <w:marRight w:val="0"/>
          <w:marTop w:val="0"/>
          <w:marBottom w:val="0"/>
          <w:divBdr>
            <w:top w:val="none" w:sz="0" w:space="0" w:color="auto"/>
            <w:left w:val="none" w:sz="0" w:space="0" w:color="auto"/>
            <w:bottom w:val="none" w:sz="0" w:space="0" w:color="auto"/>
            <w:right w:val="none" w:sz="0" w:space="0" w:color="auto"/>
          </w:divBdr>
          <w:divsChild>
            <w:div w:id="10388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1651</Words>
  <Characters>9412</Characters>
  <Application>Microsoft Office Word</Application>
  <DocSecurity>0</DocSecurity>
  <Lines>78</Lines>
  <Paragraphs>22</Paragraphs>
  <ScaleCrop>false</ScaleCrop>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 瑞</dc:creator>
  <cp:keywords/>
  <dc:description/>
  <cp:lastModifiedBy>庞 瑞</cp:lastModifiedBy>
  <cp:revision>1</cp:revision>
  <dcterms:created xsi:type="dcterms:W3CDTF">2021-07-09T06:47:00Z</dcterms:created>
  <dcterms:modified xsi:type="dcterms:W3CDTF">2021-07-09T06:47:00Z</dcterms:modified>
</cp:coreProperties>
</file>