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0BCB" w:rsidRPr="006410EE" w:rsidRDefault="006410EE" w:rsidP="006410EE">
      <w:pPr>
        <w:jc w:val="left"/>
        <w:rPr>
          <w:rFonts w:ascii="方正小标宋_GBK" w:eastAsia="方正小标宋_GBK"/>
          <w:sz w:val="32"/>
          <w:szCs w:val="36"/>
        </w:rPr>
      </w:pPr>
      <w:r w:rsidRPr="006410EE">
        <w:rPr>
          <w:rFonts w:ascii="方正小标宋_GBK" w:eastAsia="方正小标宋_GBK" w:hint="eastAsia"/>
          <w:sz w:val="32"/>
          <w:szCs w:val="36"/>
        </w:rPr>
        <w:t>附件</w:t>
      </w:r>
      <w:bookmarkStart w:id="0" w:name="_GoBack"/>
      <w:bookmarkEnd w:id="0"/>
    </w:p>
    <w:p w:rsidR="006410EE" w:rsidRPr="006410EE" w:rsidRDefault="006410EE" w:rsidP="006410EE">
      <w:pPr>
        <w:jc w:val="center"/>
        <w:rPr>
          <w:rFonts w:ascii="方正小标宋_GBK" w:eastAsia="方正小标宋_GBK"/>
          <w:sz w:val="32"/>
          <w:szCs w:val="36"/>
        </w:rPr>
      </w:pPr>
      <w:r w:rsidRPr="006410EE">
        <w:rPr>
          <w:rFonts w:ascii="方正小标宋_GBK" w:eastAsia="方正小标宋_GBK" w:hint="eastAsia"/>
          <w:sz w:val="32"/>
          <w:szCs w:val="36"/>
        </w:rPr>
        <w:t>中国药科大学“十四五”发展战略相关调研课题立项名单</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2"/>
        <w:gridCol w:w="1511"/>
        <w:gridCol w:w="2268"/>
        <w:gridCol w:w="3686"/>
        <w:gridCol w:w="850"/>
        <w:gridCol w:w="1560"/>
      </w:tblGrid>
      <w:tr w:rsidR="006410EE" w:rsidRPr="006410EE" w:rsidTr="009B039D">
        <w:trPr>
          <w:trHeight w:val="202"/>
          <w:tblHeader/>
          <w:jc w:val="center"/>
        </w:trPr>
        <w:tc>
          <w:tcPr>
            <w:tcW w:w="752" w:type="dxa"/>
            <w:shd w:val="clear" w:color="auto" w:fill="auto"/>
            <w:vAlign w:val="center"/>
          </w:tcPr>
          <w:p w:rsidR="006410EE" w:rsidRPr="006410EE" w:rsidRDefault="006410EE" w:rsidP="00B87D42">
            <w:pPr>
              <w:spacing w:line="400" w:lineRule="exact"/>
              <w:jc w:val="center"/>
              <w:rPr>
                <w:rFonts w:ascii="方正小标宋_GBK" w:eastAsia="方正小标宋_GBK"/>
                <w:sz w:val="24"/>
                <w:szCs w:val="24"/>
              </w:rPr>
            </w:pPr>
            <w:r w:rsidRPr="006410EE">
              <w:rPr>
                <w:rFonts w:ascii="方正小标宋_GBK" w:eastAsia="方正小标宋_GBK" w:hint="eastAsia"/>
                <w:sz w:val="24"/>
                <w:szCs w:val="24"/>
              </w:rPr>
              <w:t>序号</w:t>
            </w:r>
          </w:p>
        </w:tc>
        <w:tc>
          <w:tcPr>
            <w:tcW w:w="1511" w:type="dxa"/>
            <w:vAlign w:val="center"/>
          </w:tcPr>
          <w:p w:rsidR="006410EE" w:rsidRPr="006410EE" w:rsidRDefault="006410EE" w:rsidP="00B87D42">
            <w:pPr>
              <w:widowControl/>
              <w:spacing w:line="400" w:lineRule="exact"/>
              <w:jc w:val="center"/>
              <w:rPr>
                <w:rFonts w:ascii="方正小标宋_GBK" w:eastAsia="方正小标宋_GBK" w:hAnsi="宋体" w:cs="宋体"/>
                <w:color w:val="333333"/>
                <w:kern w:val="0"/>
                <w:sz w:val="24"/>
                <w:szCs w:val="24"/>
              </w:rPr>
            </w:pPr>
            <w:r w:rsidRPr="006410EE">
              <w:rPr>
                <w:rFonts w:ascii="方正小标宋_GBK" w:eastAsia="方正小标宋_GBK" w:hAnsi="宋体" w:cs="宋体" w:hint="eastAsia"/>
                <w:color w:val="333333"/>
                <w:kern w:val="0"/>
                <w:sz w:val="24"/>
                <w:szCs w:val="24"/>
              </w:rPr>
              <w:t>课题负责人</w:t>
            </w:r>
          </w:p>
        </w:tc>
        <w:tc>
          <w:tcPr>
            <w:tcW w:w="2268" w:type="dxa"/>
            <w:vAlign w:val="center"/>
          </w:tcPr>
          <w:p w:rsidR="006410EE" w:rsidRPr="006410EE" w:rsidRDefault="006410EE" w:rsidP="00B87D42">
            <w:pPr>
              <w:widowControl/>
              <w:spacing w:line="400" w:lineRule="exact"/>
              <w:jc w:val="center"/>
              <w:rPr>
                <w:rFonts w:ascii="方正小标宋_GBK" w:eastAsia="方正小标宋_GBK" w:hAnsi="宋体" w:cs="宋体"/>
                <w:color w:val="333333"/>
                <w:kern w:val="0"/>
                <w:sz w:val="24"/>
                <w:szCs w:val="24"/>
              </w:rPr>
            </w:pPr>
            <w:r w:rsidRPr="006410EE">
              <w:rPr>
                <w:rFonts w:ascii="方正小标宋_GBK" w:eastAsia="方正小标宋_GBK" w:hAnsi="宋体" w:cs="宋体" w:hint="eastAsia"/>
                <w:color w:val="333333"/>
                <w:kern w:val="0"/>
                <w:sz w:val="24"/>
                <w:szCs w:val="24"/>
              </w:rPr>
              <w:t>承担单位</w:t>
            </w:r>
          </w:p>
        </w:tc>
        <w:tc>
          <w:tcPr>
            <w:tcW w:w="3686" w:type="dxa"/>
            <w:shd w:val="clear" w:color="auto" w:fill="auto"/>
            <w:vAlign w:val="center"/>
          </w:tcPr>
          <w:p w:rsidR="006410EE" w:rsidRPr="006410EE" w:rsidRDefault="006410EE" w:rsidP="00B87D42">
            <w:pPr>
              <w:widowControl/>
              <w:spacing w:line="400" w:lineRule="exact"/>
              <w:jc w:val="center"/>
              <w:rPr>
                <w:rFonts w:ascii="方正小标宋_GBK" w:eastAsia="方正小标宋_GBK" w:hAnsi="宋体" w:cs="宋体"/>
                <w:color w:val="333333"/>
                <w:kern w:val="0"/>
                <w:sz w:val="24"/>
                <w:szCs w:val="24"/>
              </w:rPr>
            </w:pPr>
            <w:r w:rsidRPr="006410EE">
              <w:rPr>
                <w:rFonts w:ascii="方正小标宋_GBK" w:eastAsia="方正小标宋_GBK" w:hAnsi="宋体" w:cs="宋体" w:hint="eastAsia"/>
                <w:color w:val="333333"/>
                <w:kern w:val="0"/>
                <w:sz w:val="24"/>
                <w:szCs w:val="24"/>
              </w:rPr>
              <w:t>课题名称</w:t>
            </w:r>
          </w:p>
        </w:tc>
        <w:tc>
          <w:tcPr>
            <w:tcW w:w="850" w:type="dxa"/>
            <w:vAlign w:val="center"/>
          </w:tcPr>
          <w:p w:rsidR="006410EE" w:rsidRPr="006410EE" w:rsidRDefault="006410EE" w:rsidP="00B87D42">
            <w:pPr>
              <w:spacing w:line="400" w:lineRule="exact"/>
              <w:jc w:val="center"/>
              <w:rPr>
                <w:rFonts w:ascii="方正小标宋_GBK" w:eastAsia="方正小标宋_GBK"/>
                <w:sz w:val="24"/>
                <w:szCs w:val="24"/>
              </w:rPr>
            </w:pPr>
            <w:r w:rsidRPr="006410EE">
              <w:rPr>
                <w:rFonts w:ascii="方正小标宋_GBK" w:eastAsia="方正小标宋_GBK" w:hint="eastAsia"/>
                <w:sz w:val="24"/>
                <w:szCs w:val="24"/>
              </w:rPr>
              <w:t>类型</w:t>
            </w:r>
          </w:p>
        </w:tc>
        <w:tc>
          <w:tcPr>
            <w:tcW w:w="1560" w:type="dxa"/>
            <w:vAlign w:val="center"/>
          </w:tcPr>
          <w:p w:rsidR="006410EE" w:rsidRPr="006410EE" w:rsidRDefault="006410EE" w:rsidP="00B87D42">
            <w:pPr>
              <w:spacing w:line="400" w:lineRule="exact"/>
              <w:jc w:val="center"/>
              <w:rPr>
                <w:rFonts w:ascii="方正小标宋_GBK" w:eastAsia="方正小标宋_GBK"/>
                <w:sz w:val="24"/>
                <w:szCs w:val="24"/>
              </w:rPr>
            </w:pPr>
            <w:r w:rsidRPr="006410EE">
              <w:rPr>
                <w:rFonts w:ascii="方正小标宋_GBK" w:eastAsia="方正小标宋_GBK" w:hint="eastAsia"/>
                <w:sz w:val="24"/>
                <w:szCs w:val="24"/>
              </w:rPr>
              <w:t>项目编号</w:t>
            </w:r>
          </w:p>
        </w:tc>
      </w:tr>
      <w:tr w:rsidR="006410EE" w:rsidRPr="006410EE" w:rsidTr="009B039D">
        <w:trPr>
          <w:trHeight w:val="202"/>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孙敏捷，张潇</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proofErr w:type="gramStart"/>
            <w:r w:rsidRPr="006410EE">
              <w:rPr>
                <w:rFonts w:ascii="方正仿宋_GBK" w:eastAsia="方正仿宋_GBK" w:hAnsi="仿宋" w:cs="Tahoma" w:hint="eastAsia"/>
                <w:kern w:val="0"/>
                <w:sz w:val="24"/>
                <w:szCs w:val="24"/>
              </w:rPr>
              <w:t>孟目的</w:t>
            </w:r>
            <w:proofErr w:type="gramEnd"/>
            <w:r w:rsidRPr="006410EE">
              <w:rPr>
                <w:rFonts w:ascii="方正仿宋_GBK" w:eastAsia="方正仿宋_GBK" w:hAnsi="仿宋" w:cs="Tahoma" w:hint="eastAsia"/>
                <w:kern w:val="0"/>
                <w:sz w:val="24"/>
                <w:szCs w:val="24"/>
              </w:rPr>
              <w:t>学院</w:t>
            </w:r>
          </w:p>
        </w:tc>
        <w:tc>
          <w:tcPr>
            <w:tcW w:w="3686" w:type="dxa"/>
            <w:shd w:val="clear" w:color="auto" w:fill="auto"/>
            <w:vAlign w:val="center"/>
          </w:tcPr>
          <w:p w:rsidR="006410EE" w:rsidRPr="006410EE" w:rsidRDefault="006410EE" w:rsidP="00B87D42">
            <w:pPr>
              <w:widowControl/>
              <w:spacing w:line="400" w:lineRule="exact"/>
              <w:rPr>
                <w:rFonts w:ascii="方正仿宋_GBK" w:eastAsia="方正仿宋_GBK" w:hAnsi="微软雅黑"/>
                <w:kern w:val="0"/>
                <w:sz w:val="24"/>
                <w:szCs w:val="24"/>
              </w:rPr>
            </w:pPr>
            <w:r w:rsidRPr="006410EE">
              <w:rPr>
                <w:rFonts w:ascii="方正仿宋_GBK" w:eastAsia="方正仿宋_GBK" w:hAnsi="微软雅黑" w:hint="eastAsia"/>
                <w:sz w:val="24"/>
                <w:szCs w:val="24"/>
              </w:rPr>
              <w:t>基础学科拔尖学生培养计划2.0基地人才培养模式调研与探究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DYKT202201</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路亮，朱月</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研究生院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新形势下中国药科大学本科生读研状况分析及研究生生源质量提升策略研究与实践</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DYKT202202</w:t>
            </w:r>
          </w:p>
        </w:tc>
      </w:tr>
      <w:tr w:rsidR="006410EE" w:rsidRPr="006410EE" w:rsidTr="009B039D">
        <w:trPr>
          <w:trHeight w:val="412"/>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3</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高新柱，</w:t>
            </w:r>
            <w:proofErr w:type="gramStart"/>
            <w:r w:rsidRPr="006410EE">
              <w:rPr>
                <w:rFonts w:ascii="方正仿宋_GBK" w:eastAsia="方正仿宋_GBK" w:hint="eastAsia"/>
                <w:sz w:val="24"/>
                <w:szCs w:val="24"/>
              </w:rPr>
              <w:t>寇俊萍</w:t>
            </w:r>
            <w:proofErr w:type="gramEnd"/>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教务处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高校教师教学卓越发展“四阶”路径研究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DYKT202203</w:t>
            </w:r>
          </w:p>
        </w:tc>
      </w:tr>
      <w:tr w:rsidR="006410EE" w:rsidRPr="006410EE" w:rsidTr="009B039D">
        <w:trPr>
          <w:trHeight w:val="202"/>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4</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张静</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期刊编辑部、图书与信息中心</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国内高校药学专利技术与专利管理运营政策调研</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DYKT202204</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5</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王博</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校长办公室</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中国药科大学本科专业人才培养质量研究——基于“从入口到出口”人才培养大数据分析</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DYKT202205</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6</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陈娟，邬瑞斌</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现代制药产业学院，玄武门校区管委会</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现代制药产业学院政产学协同管理机制内涵及实践路径探析</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DYKT202206</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7</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陆冷飞</w:t>
            </w:r>
            <w:proofErr w:type="gramEnd"/>
            <w:r w:rsidRPr="006410EE">
              <w:rPr>
                <w:rFonts w:ascii="方正仿宋_GBK" w:eastAsia="方正仿宋_GBK" w:hint="eastAsia"/>
                <w:sz w:val="24"/>
                <w:szCs w:val="24"/>
              </w:rPr>
              <w:t>，胡庆华</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研究生院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中国药科大学研究生培养质量调研</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DYKT202207</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8</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姜晨</w:t>
            </w:r>
            <w:proofErr w:type="gramEnd"/>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党委宣传部</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新媒体时代高校师生思想动态与网络舆情应对机制调研报告——以中国药科大学为例</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DYKT202208</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9</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项莹</w:t>
            </w:r>
            <w:proofErr w:type="gramEnd"/>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科学技术处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我校高层次科研合作新模式调研</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DYKT202209</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10</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钱璟，王雅恬</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党委组织部，发展规划与学科建设处</w:t>
            </w:r>
          </w:p>
        </w:tc>
        <w:tc>
          <w:tcPr>
            <w:tcW w:w="3686" w:type="dxa"/>
            <w:shd w:val="clear" w:color="auto" w:fill="auto"/>
            <w:vAlign w:val="center"/>
          </w:tcPr>
          <w:p w:rsidR="006410EE" w:rsidRPr="006410EE" w:rsidRDefault="006410EE" w:rsidP="00B87D42">
            <w:pPr>
              <w:widowControl/>
              <w:spacing w:line="400" w:lineRule="exact"/>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双一流高校干部队伍建设现状调查和对策分析</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重点课题</w:t>
            </w:r>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DYKT202210</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11</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刘胜利</w:t>
            </w:r>
            <w:proofErr w:type="gramEnd"/>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招生就业处</w:t>
            </w:r>
          </w:p>
        </w:tc>
        <w:tc>
          <w:tcPr>
            <w:tcW w:w="3686" w:type="dxa"/>
            <w:shd w:val="clear" w:color="auto" w:fill="auto"/>
            <w:vAlign w:val="center"/>
          </w:tcPr>
          <w:p w:rsidR="006410EE" w:rsidRPr="006410EE" w:rsidRDefault="006410EE" w:rsidP="00B87D42">
            <w:pPr>
              <w:widowControl/>
              <w:spacing w:line="400" w:lineRule="exact"/>
              <w:rPr>
                <w:rFonts w:ascii="方正仿宋_GBK" w:eastAsia="方正仿宋_GBK" w:hAnsi="微软雅黑"/>
                <w:kern w:val="0"/>
                <w:sz w:val="24"/>
                <w:szCs w:val="24"/>
              </w:rPr>
            </w:pPr>
            <w:r w:rsidRPr="006410EE">
              <w:rPr>
                <w:rFonts w:ascii="方正仿宋_GBK" w:eastAsia="方正仿宋_GBK" w:hAnsi="微软雅黑" w:hint="eastAsia"/>
                <w:sz w:val="24"/>
                <w:szCs w:val="24"/>
              </w:rPr>
              <w:t>“十四五”医药类高校毕业生供需调研</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DYKT202211</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12</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白</w:t>
            </w:r>
            <w:proofErr w:type="gramStart"/>
            <w:r w:rsidRPr="006410EE">
              <w:rPr>
                <w:rFonts w:ascii="方正仿宋_GBK" w:eastAsia="方正仿宋_GBK" w:hint="eastAsia"/>
                <w:sz w:val="24"/>
                <w:szCs w:val="24"/>
              </w:rPr>
              <w:t>一</w:t>
            </w:r>
            <w:proofErr w:type="gramEnd"/>
            <w:r w:rsidRPr="006410EE">
              <w:rPr>
                <w:rFonts w:ascii="方正仿宋_GBK" w:eastAsia="方正仿宋_GBK" w:hint="eastAsia"/>
                <w:sz w:val="24"/>
                <w:szCs w:val="24"/>
              </w:rPr>
              <w:t>丹，赵健</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中药学院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讲好“红色”药学故事，传承“药学科学家精神”</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DYKT202212</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lastRenderedPageBreak/>
              <w:t>13</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杨婉，王亚萍</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生命科学与技术学院，马克思主义学院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药学</w:t>
            </w:r>
            <w:proofErr w:type="gramStart"/>
            <w:r w:rsidRPr="006410EE">
              <w:rPr>
                <w:rFonts w:ascii="方正仿宋_GBK" w:eastAsia="方正仿宋_GBK" w:hAnsi="微软雅黑" w:hint="eastAsia"/>
                <w:sz w:val="24"/>
                <w:szCs w:val="24"/>
              </w:rPr>
              <w:t>生思想</w:t>
            </w:r>
            <w:proofErr w:type="gramEnd"/>
            <w:r w:rsidRPr="006410EE">
              <w:rPr>
                <w:rFonts w:ascii="方正仿宋_GBK" w:eastAsia="方正仿宋_GBK" w:hAnsi="微软雅黑" w:hint="eastAsia"/>
                <w:sz w:val="24"/>
                <w:szCs w:val="24"/>
              </w:rPr>
              <w:t>政治教育现状调研</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DYKT202213</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14</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刘睿，张海云</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proofErr w:type="gramStart"/>
            <w:r w:rsidRPr="006410EE">
              <w:rPr>
                <w:rFonts w:ascii="方正仿宋_GBK" w:eastAsia="方正仿宋_GBK" w:hAnsi="仿宋" w:cs="Tahoma" w:hint="eastAsia"/>
                <w:kern w:val="0"/>
                <w:sz w:val="24"/>
                <w:szCs w:val="24"/>
              </w:rPr>
              <w:t>孟目的</w:t>
            </w:r>
            <w:proofErr w:type="gramEnd"/>
            <w:r w:rsidRPr="006410EE">
              <w:rPr>
                <w:rFonts w:ascii="方正仿宋_GBK" w:eastAsia="方正仿宋_GBK" w:hAnsi="仿宋" w:cs="Tahoma" w:hint="eastAsia"/>
                <w:kern w:val="0"/>
                <w:sz w:val="24"/>
                <w:szCs w:val="24"/>
              </w:rPr>
              <w:t>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书院制下拔尖创新人才博雅育人模式的调研与实践</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DYKT202214</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15</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孙振淋</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机关党委</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我校机关作风与效能建设探究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DYKT202215</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16</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蒋鹏宇</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国际交流合作处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国际化发展视域下高校高层次中外合作办学项目推进研究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DYKT202216</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17</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叶青</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教务处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“双一流”背景下的高校基层教学组织建设路径研究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DYKT202217</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18</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葛志伟</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proofErr w:type="gramStart"/>
            <w:r w:rsidRPr="006410EE">
              <w:rPr>
                <w:rFonts w:ascii="方正仿宋_GBK" w:eastAsia="方正仿宋_GBK" w:hAnsi="仿宋" w:cs="Tahoma" w:hint="eastAsia"/>
                <w:kern w:val="0"/>
                <w:sz w:val="24"/>
                <w:szCs w:val="24"/>
              </w:rPr>
              <w:t>孟目的</w:t>
            </w:r>
            <w:proofErr w:type="gramEnd"/>
            <w:r w:rsidRPr="006410EE">
              <w:rPr>
                <w:rFonts w:ascii="方正仿宋_GBK" w:eastAsia="方正仿宋_GBK" w:hAnsi="仿宋" w:cs="Tahoma" w:hint="eastAsia"/>
                <w:kern w:val="0"/>
                <w:sz w:val="24"/>
                <w:szCs w:val="24"/>
              </w:rPr>
              <w:t>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服务长江经济带高质量发展的卓越制药工程师人才需求调查</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DYKT202218</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19</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吴旻玥</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党委宣传部</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“精业济群”校训精神育人路径研究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DYKT202219</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20</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林生</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后勤服务集团总公司</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后勤集团劳务派遣职工服务状态调查与激励研究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DYKT202220</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21</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何聿娴</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基础医学与临床药学学院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我校相关专业和临床试验领域专业适配度调研分析</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DYKT202221</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22</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吴琪，贾晓斌</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中药学院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基于“中医药瑰宝助力健康中国”的新文创调研</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DYKT202222</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23</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卢献锁</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学生工作处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药学生领导力发展现状及影响因素调查</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DYKT202223</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24</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柳翠，李琪</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继续教育学院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继续教育“名师金课”建设研究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DYKT202224</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25</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谌</w:t>
            </w:r>
            <w:proofErr w:type="gramEnd"/>
            <w:r w:rsidRPr="006410EE">
              <w:rPr>
                <w:rFonts w:ascii="方正仿宋_GBK" w:eastAsia="方正仿宋_GBK" w:hint="eastAsia"/>
                <w:sz w:val="24"/>
                <w:szCs w:val="24"/>
              </w:rPr>
              <w:t>华</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监察处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高校系统健全作风建设长效机制研究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DYKT202225</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26</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韩智豪</w:t>
            </w:r>
            <w:proofErr w:type="gramEnd"/>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工学院、高等职业技术学院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放射性药物的基础科研与人才培养</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DYKT202226</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27</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吴振华</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后勤服务集团总公司、保卫处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高校师生安全教育及安全保障模式、路径研究——以学生为主的自我安全教育模式探索</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DYKT202227</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lastRenderedPageBreak/>
              <w:t>28</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王一如</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生命科学与技术学院</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“如意”——大学生心理健康教育创新研究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DYKT202228</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29</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胡艺凡</w:t>
            </w:r>
            <w:proofErr w:type="gramEnd"/>
            <w:r w:rsidRPr="006410EE">
              <w:rPr>
                <w:rFonts w:ascii="方正仿宋_GBK" w:eastAsia="方正仿宋_GBK" w:hint="eastAsia"/>
                <w:sz w:val="24"/>
                <w:szCs w:val="24"/>
              </w:rPr>
              <w:t>，</w:t>
            </w:r>
            <w:proofErr w:type="gramStart"/>
            <w:r w:rsidRPr="006410EE">
              <w:rPr>
                <w:rFonts w:ascii="方正仿宋_GBK" w:eastAsia="方正仿宋_GBK" w:hint="eastAsia"/>
                <w:sz w:val="24"/>
                <w:szCs w:val="24"/>
              </w:rPr>
              <w:t>魏富</w:t>
            </w:r>
            <w:proofErr w:type="gramEnd"/>
            <w:r w:rsidRPr="006410EE">
              <w:rPr>
                <w:rFonts w:ascii="方正仿宋_GBK" w:eastAsia="方正仿宋_GBK" w:hint="eastAsia"/>
                <w:sz w:val="24"/>
                <w:szCs w:val="24"/>
              </w:rPr>
              <w:t>起</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计财处</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“十四五”新时期</w:t>
            </w:r>
            <w:proofErr w:type="gramStart"/>
            <w:r w:rsidRPr="006410EE">
              <w:rPr>
                <w:rFonts w:ascii="方正仿宋_GBK" w:eastAsia="方正仿宋_GBK" w:hAnsi="微软雅黑" w:hint="eastAsia"/>
                <w:sz w:val="24"/>
                <w:szCs w:val="24"/>
              </w:rPr>
              <w:t>高校业财融合</w:t>
            </w:r>
            <w:proofErr w:type="gramEnd"/>
            <w:r w:rsidRPr="006410EE">
              <w:rPr>
                <w:rFonts w:ascii="方正仿宋_GBK" w:eastAsia="方正仿宋_GBK" w:hAnsi="微软雅黑" w:hint="eastAsia"/>
                <w:sz w:val="24"/>
                <w:szCs w:val="24"/>
              </w:rPr>
              <w:t>信息化问题研究</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DYKT202229</w:t>
            </w:r>
          </w:p>
        </w:tc>
      </w:tr>
      <w:tr w:rsidR="006410EE" w:rsidRPr="006410EE" w:rsidTr="009B039D">
        <w:trPr>
          <w:trHeight w:val="405"/>
          <w:jc w:val="center"/>
        </w:trPr>
        <w:tc>
          <w:tcPr>
            <w:tcW w:w="752"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30</w:t>
            </w:r>
          </w:p>
        </w:tc>
        <w:tc>
          <w:tcPr>
            <w:tcW w:w="1511"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张朝凤，陈静</w:t>
            </w:r>
          </w:p>
        </w:tc>
        <w:tc>
          <w:tcPr>
            <w:tcW w:w="2268" w:type="dxa"/>
            <w:shd w:val="clear" w:color="auto" w:fill="auto"/>
            <w:vAlign w:val="center"/>
          </w:tcPr>
          <w:p w:rsidR="006410EE" w:rsidRPr="006410EE" w:rsidRDefault="006410EE" w:rsidP="00B87D42">
            <w:pPr>
              <w:widowControl/>
              <w:spacing w:line="400" w:lineRule="exact"/>
              <w:jc w:val="center"/>
              <w:rPr>
                <w:rFonts w:ascii="方正仿宋_GBK" w:eastAsia="方正仿宋_GBK" w:hAnsi="仿宋" w:cs="Tahoma"/>
                <w:kern w:val="0"/>
                <w:sz w:val="24"/>
                <w:szCs w:val="24"/>
              </w:rPr>
            </w:pPr>
            <w:r w:rsidRPr="006410EE">
              <w:rPr>
                <w:rFonts w:ascii="方正仿宋_GBK" w:eastAsia="方正仿宋_GBK" w:hAnsi="仿宋" w:cs="Tahoma" w:hint="eastAsia"/>
                <w:kern w:val="0"/>
                <w:sz w:val="24"/>
                <w:szCs w:val="24"/>
              </w:rPr>
              <w:t>党委教师工作部</w:t>
            </w:r>
          </w:p>
        </w:tc>
        <w:tc>
          <w:tcPr>
            <w:tcW w:w="3686" w:type="dxa"/>
            <w:shd w:val="clear" w:color="auto" w:fill="auto"/>
            <w:vAlign w:val="center"/>
          </w:tcPr>
          <w:p w:rsidR="006410EE" w:rsidRPr="006410EE" w:rsidRDefault="006410EE" w:rsidP="00B87D42">
            <w:pPr>
              <w:spacing w:line="400" w:lineRule="exact"/>
              <w:rPr>
                <w:rFonts w:ascii="方正仿宋_GBK" w:eastAsia="方正仿宋_GBK" w:hAnsi="微软雅黑"/>
                <w:sz w:val="24"/>
                <w:szCs w:val="24"/>
              </w:rPr>
            </w:pPr>
            <w:r w:rsidRPr="006410EE">
              <w:rPr>
                <w:rFonts w:ascii="方正仿宋_GBK" w:eastAsia="方正仿宋_GBK" w:hAnsi="微软雅黑" w:hint="eastAsia"/>
                <w:sz w:val="24"/>
                <w:szCs w:val="24"/>
              </w:rPr>
              <w:t>中国药科大学师德考核评价体系建设</w:t>
            </w:r>
          </w:p>
        </w:tc>
        <w:tc>
          <w:tcPr>
            <w:tcW w:w="850" w:type="dxa"/>
            <w:vAlign w:val="center"/>
          </w:tcPr>
          <w:p w:rsidR="006410EE" w:rsidRPr="006410EE" w:rsidRDefault="006410EE" w:rsidP="00B87D42">
            <w:pPr>
              <w:spacing w:line="400" w:lineRule="exact"/>
              <w:jc w:val="center"/>
              <w:rPr>
                <w:rFonts w:ascii="方正仿宋_GBK" w:eastAsia="方正仿宋_GBK"/>
                <w:sz w:val="24"/>
                <w:szCs w:val="24"/>
              </w:rPr>
            </w:pPr>
            <w:proofErr w:type="gramStart"/>
            <w:r w:rsidRPr="006410EE">
              <w:rPr>
                <w:rFonts w:ascii="方正仿宋_GBK" w:eastAsia="方正仿宋_GBK" w:hint="eastAsia"/>
                <w:sz w:val="24"/>
                <w:szCs w:val="24"/>
              </w:rPr>
              <w:t>一般课题</w:t>
            </w:r>
            <w:proofErr w:type="gramEnd"/>
          </w:p>
        </w:tc>
        <w:tc>
          <w:tcPr>
            <w:tcW w:w="1560" w:type="dxa"/>
            <w:vAlign w:val="center"/>
          </w:tcPr>
          <w:p w:rsidR="006410EE" w:rsidRPr="006410EE" w:rsidRDefault="006410EE" w:rsidP="00B87D42">
            <w:pPr>
              <w:spacing w:line="400" w:lineRule="exact"/>
              <w:jc w:val="center"/>
              <w:rPr>
                <w:rFonts w:ascii="方正仿宋_GBK" w:eastAsia="方正仿宋_GBK"/>
                <w:sz w:val="24"/>
                <w:szCs w:val="24"/>
              </w:rPr>
            </w:pPr>
            <w:r w:rsidRPr="006410EE">
              <w:rPr>
                <w:rFonts w:ascii="方正仿宋_GBK" w:eastAsia="方正仿宋_GBK" w:hint="eastAsia"/>
                <w:sz w:val="24"/>
                <w:szCs w:val="24"/>
              </w:rPr>
              <w:t>DYKT202230</w:t>
            </w:r>
          </w:p>
        </w:tc>
      </w:tr>
    </w:tbl>
    <w:p w:rsidR="006410EE" w:rsidRDefault="006410EE" w:rsidP="006410EE"/>
    <w:sectPr w:rsidR="006410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5EF5" w:rsidRDefault="008F5EF5" w:rsidP="009B039D">
      <w:r>
        <w:separator/>
      </w:r>
    </w:p>
  </w:endnote>
  <w:endnote w:type="continuationSeparator" w:id="0">
    <w:p w:rsidR="008F5EF5" w:rsidRDefault="008F5EF5" w:rsidP="009B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5EF5" w:rsidRDefault="008F5EF5" w:rsidP="009B039D">
      <w:r>
        <w:separator/>
      </w:r>
    </w:p>
  </w:footnote>
  <w:footnote w:type="continuationSeparator" w:id="0">
    <w:p w:rsidR="008F5EF5" w:rsidRDefault="008F5EF5" w:rsidP="009B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EE"/>
    <w:rsid w:val="00184AD8"/>
    <w:rsid w:val="002B2C15"/>
    <w:rsid w:val="00380BCB"/>
    <w:rsid w:val="006410EE"/>
    <w:rsid w:val="008F5EF5"/>
    <w:rsid w:val="009B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9C67"/>
  <w15:chartTrackingRefBased/>
  <w15:docId w15:val="{3C950B78-FFF7-4239-AD71-DB823964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39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B039D"/>
    <w:rPr>
      <w:sz w:val="18"/>
      <w:szCs w:val="18"/>
    </w:rPr>
  </w:style>
  <w:style w:type="paragraph" w:styleId="a5">
    <w:name w:val="footer"/>
    <w:basedOn w:val="a"/>
    <w:link w:val="a6"/>
    <w:uiPriority w:val="99"/>
    <w:unhideWhenUsed/>
    <w:rsid w:val="009B039D"/>
    <w:pPr>
      <w:tabs>
        <w:tab w:val="center" w:pos="4153"/>
        <w:tab w:val="right" w:pos="8306"/>
      </w:tabs>
      <w:snapToGrid w:val="0"/>
      <w:jc w:val="left"/>
    </w:pPr>
    <w:rPr>
      <w:sz w:val="18"/>
      <w:szCs w:val="18"/>
    </w:rPr>
  </w:style>
  <w:style w:type="character" w:customStyle="1" w:styleId="a6">
    <w:name w:val="页脚 字符"/>
    <w:basedOn w:val="a0"/>
    <w:link w:val="a5"/>
    <w:uiPriority w:val="99"/>
    <w:rsid w:val="009B039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CPU</dc:creator>
  <cp:keywords/>
  <dc:description/>
  <cp:lastModifiedBy>CPU</cp:lastModifiedBy>
  <cp:revision>3</cp:revision>
  <dcterms:created xsi:type="dcterms:W3CDTF">2022-06-30T05:22:00Z</dcterms:created>
  <dcterms:modified xsi:type="dcterms:W3CDTF">2022-07-04T03:14:00Z</dcterms:modified>
</cp:coreProperties>
</file>