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0D39" w14:textId="77777777" w:rsidR="00326C86" w:rsidRDefault="00326C86" w:rsidP="00326C86">
      <w:pPr>
        <w:pStyle w:val="1"/>
        <w:spacing w:before="0" w:beforeAutospacing="0" w:after="0" w:afterAutospacing="0"/>
        <w:jc w:val="center"/>
        <w:rPr>
          <w:rFonts w:ascii="微软雅黑" w:eastAsia="微软雅黑" w:hAnsi="微软雅黑"/>
          <w:color w:val="4B4B4B"/>
          <w:sz w:val="30"/>
          <w:szCs w:val="30"/>
        </w:rPr>
      </w:pPr>
      <w:r>
        <w:rPr>
          <w:rFonts w:ascii="微软雅黑" w:eastAsia="微软雅黑" w:hAnsi="微软雅黑" w:hint="eastAsia"/>
          <w:color w:val="4B4B4B"/>
          <w:sz w:val="30"/>
          <w:szCs w:val="30"/>
        </w:rPr>
        <w:t>国务院办公厅关于改革完善中央财政科研经费管理的若干意见</w:t>
      </w:r>
    </w:p>
    <w:p w14:paraId="40AB22CB" w14:textId="77777777" w:rsidR="00326C86" w:rsidRDefault="00326C86" w:rsidP="00326C86">
      <w:pPr>
        <w:pStyle w:val="a3"/>
        <w:spacing w:before="0" w:beforeAutospacing="0" w:after="0" w:afterAutospacing="0"/>
        <w:jc w:val="right"/>
        <w:rPr>
          <w:rFonts w:ascii="微软雅黑" w:eastAsia="微软雅黑" w:hAnsi="微软雅黑" w:hint="eastAsia"/>
          <w:color w:val="4B4B4B"/>
        </w:rPr>
      </w:pPr>
      <w:r>
        <w:rPr>
          <w:rFonts w:ascii="微软雅黑" w:eastAsia="微软雅黑" w:hAnsi="微软雅黑" w:hint="eastAsia"/>
          <w:color w:val="4B4B4B"/>
        </w:rPr>
        <w:t>国办发〔2021〕32号</w:t>
      </w:r>
    </w:p>
    <w:p w14:paraId="00628C7C"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各省、自治区、直辖市人民政府，国务院各部委、各直属机构：</w:t>
      </w:r>
    </w:p>
    <w:p w14:paraId="5FB41024"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更大贡献，经国务院同意，现就改革完善中央财政科研经费管理提出如下意见：</w:t>
      </w:r>
    </w:p>
    <w:p w14:paraId="19DC1D88"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一、扩大科研项目经费管理自主权</w:t>
      </w:r>
    </w:p>
    <w:p w14:paraId="2C65B436"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一）简化预算编制。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项目管理部门负责落实）</w:t>
      </w:r>
    </w:p>
    <w:p w14:paraId="54BF523C"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（二）下放预算调剂权。设备费预算调剂权全部下放给项目承担单位，不再由项目管理部门审批其预算调增。项目承担单位要统筹考虑现有设备配置情</w:t>
      </w:r>
      <w:r>
        <w:rPr>
          <w:rFonts w:ascii="微软雅黑" w:eastAsia="微软雅黑" w:hAnsi="微软雅黑" w:hint="eastAsia"/>
          <w:color w:val="4B4B4B"/>
        </w:rPr>
        <w:lastRenderedPageBreak/>
        <w:t>况、科研项目实际需求等，及时办理调剂手续。除设备费外的其他费用调剂权全部由项目承担单位下放给项目负责人，由项目负责人根据科研活动实际需要自主安排。（项目管理部门、项目承担单位负责落实）</w:t>
      </w:r>
    </w:p>
    <w:p w14:paraId="4AC2A0BD"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三）扩大经费包干制实施范围。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项目管理部门、项目承担单位、财政部、单位主管部门负责落实）</w:t>
      </w:r>
    </w:p>
    <w:p w14:paraId="279D3D71"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二、完善科研项目经费拨付机制</w:t>
      </w:r>
    </w:p>
    <w:p w14:paraId="564AD62A"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四）合理确定经费拨付计划。项目管理部门要根据不同类型科研项目特点、研究进度、资金需求等，合理制定经费拨付计划并及时拨付资金。首笔资金拨付比例要充分尊重项目负责人意见，切实保障科研活动需要。（项目管理部门负责落实）</w:t>
      </w:r>
    </w:p>
    <w:p w14:paraId="1006F95B"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（五）加快经费拨付进度。财政部、项目管理部门可在部门预算批复前预拨科研经费。项目管理部门要加强经费拨付与项目立项的衔接，在项目任务</w:t>
      </w:r>
      <w:proofErr w:type="gramStart"/>
      <w:r>
        <w:rPr>
          <w:rFonts w:ascii="微软雅黑" w:eastAsia="微软雅黑" w:hAnsi="微软雅黑" w:hint="eastAsia"/>
          <w:color w:val="4B4B4B"/>
        </w:rPr>
        <w:t>书签订</w:t>
      </w:r>
      <w:proofErr w:type="gramEnd"/>
      <w:r>
        <w:rPr>
          <w:rFonts w:ascii="微软雅黑" w:eastAsia="微软雅黑" w:hAnsi="微软雅黑" w:hint="eastAsia"/>
          <w:color w:val="4B4B4B"/>
        </w:rPr>
        <w:t>后30日内，将经费拨付至项目承担单位。项目牵头单位要根据项目负责人意见，及时将经费拨付至项目参与单位。（财政部、项目管理部门、项目承担单位负责落实）</w:t>
      </w:r>
    </w:p>
    <w:p w14:paraId="7698C157"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六）改进结余资金管理。项目完成任务目标并通过综合绩效评价后，结余资金留归项目承担单位使用。项目承担单位要将结余资金统筹安排用于科研活动直接支出，优先考虑原项目团队科研需求，并加强结余资金管理，健全结</w:t>
      </w:r>
      <w:r>
        <w:rPr>
          <w:rFonts w:ascii="微软雅黑" w:eastAsia="微软雅黑" w:hAnsi="微软雅黑" w:hint="eastAsia"/>
          <w:color w:val="4B4B4B"/>
        </w:rPr>
        <w:lastRenderedPageBreak/>
        <w:t>余资金盘活机制，加快资金使用进度。（项目管理部门、项目承担单位负责落实）</w:t>
      </w:r>
    </w:p>
    <w:p w14:paraId="5D3E2A07"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三、加大科研人员激励力度</w:t>
      </w:r>
    </w:p>
    <w:p w14:paraId="34DF3F76"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七）提高间接费用比例。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项目管理部门、项目承担单位负责落实）</w:t>
      </w:r>
    </w:p>
    <w:p w14:paraId="73926170"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八）扩大稳定支持科研经费提取奖励经费试点范围。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中央级科研院所负责落实）</w:t>
      </w:r>
    </w:p>
    <w:p w14:paraId="51B10225"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九）扩大劳务费开支范围。项目聘用人员的劳务费开支标准，参照当地科学研究和技术服务业从业人员平均工资水平，根据其在项目研究中承担的工作任务确定，其由单位缴纳的社会保险补助、住房公积金等纳入劳务费科目列支。（项目承担单位、项目管理部门负责落实）</w:t>
      </w:r>
    </w:p>
    <w:p w14:paraId="0EAC140B"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（十）合理核定绩效工资总量。中央高校、科研院所、企业结合本单位发展阶段、类型定位、承担任务、人才结构、所在地区、现有绩效工资实际发放</w:t>
      </w:r>
      <w:r>
        <w:rPr>
          <w:rFonts w:ascii="微软雅黑" w:eastAsia="微软雅黑" w:hAnsi="微软雅黑" w:hint="eastAsia"/>
          <w:color w:val="4B4B4B"/>
        </w:rPr>
        <w:lastRenderedPageBreak/>
        <w:t>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人力资源社会保障部、科技部、财政部、国务院国资委、单位主管部门负责落实）</w:t>
      </w:r>
    </w:p>
    <w:p w14:paraId="7A89B239"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一）加大科技成果转化激励力度。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科技部、人力资源社会保障部、财政部等有关部门负责落实）</w:t>
      </w:r>
    </w:p>
    <w:p w14:paraId="0F8738CF"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四、减轻科研人员事务性负担</w:t>
      </w:r>
    </w:p>
    <w:p w14:paraId="519B19AA"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二）全面落实科研财务助理制度。项目承担单位要确保每个项目配有相对固定的科研财务助理，为科研人员在预算编制、经费报销等方面提供专业化服务。科研财务助理所需人力成本费用（含社会保险补助、住房公积金），</w:t>
      </w:r>
      <w:r>
        <w:rPr>
          <w:rFonts w:ascii="微软雅黑" w:eastAsia="微软雅黑" w:hAnsi="微软雅黑" w:hint="eastAsia"/>
          <w:color w:val="4B4B4B"/>
        </w:rPr>
        <w:lastRenderedPageBreak/>
        <w:t>可由项目承担单位根据情况通过科研项目经费等渠道统筹解决。（项目承担单位负责落实）</w:t>
      </w:r>
    </w:p>
    <w:p w14:paraId="46347F00"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三）改进财务报销管理方式。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项目承担单位负责落实）</w:t>
      </w:r>
    </w:p>
    <w:p w14:paraId="66F90095"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四）推进科研经费无纸化报销试点。选择部分电子票据接收、入账、归档处理工作量比较大的中央高校、科研院所、企业，纳入电子入账凭证会计数据标准推广范围，推动科研经费报销数字化、无纸化。（财政部、税务总局、单位主管部门等负责落实）</w:t>
      </w:r>
    </w:p>
    <w:p w14:paraId="79984F4F"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五）简化科研项目验收结题财务管理。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科技部、财政部、项目管理部门负责落实）</w:t>
      </w:r>
    </w:p>
    <w:p w14:paraId="63277B37"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（十六）优化科研仪器设备采购。中央高校、科研院所、企业要优化和完善内部管理规定，简化科研仪器设备采购流程，对科研急需的设备和耗材采用</w:t>
      </w:r>
      <w:proofErr w:type="gramStart"/>
      <w:r>
        <w:rPr>
          <w:rFonts w:ascii="微软雅黑" w:eastAsia="微软雅黑" w:hAnsi="微软雅黑" w:hint="eastAsia"/>
          <w:color w:val="4B4B4B"/>
        </w:rPr>
        <w:lastRenderedPageBreak/>
        <w:t>特</w:t>
      </w:r>
      <w:proofErr w:type="gramEnd"/>
      <w:r>
        <w:rPr>
          <w:rFonts w:ascii="微软雅黑" w:eastAsia="微软雅黑" w:hAnsi="微软雅黑" w:hint="eastAsia"/>
          <w:color w:val="4B4B4B"/>
        </w:rPr>
        <w:t>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单位主管部门、项目承担单位、司法部、财政部负责落实）</w:t>
      </w:r>
    </w:p>
    <w:p w14:paraId="7CAECE02"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（十七）改进科研人员因公出国（境）管理方式。对科研人员因公出国（境）开展国际合作与交流的管理应与行政人员有所区别，对为完成科研项目任务目标、从科研经费中列支费用的国际合作与</w:t>
      </w:r>
      <w:proofErr w:type="gramStart"/>
      <w:r>
        <w:rPr>
          <w:rFonts w:ascii="微软雅黑" w:eastAsia="微软雅黑" w:hAnsi="微软雅黑" w:hint="eastAsia"/>
          <w:color w:val="4B4B4B"/>
        </w:rPr>
        <w:t>交流按</w:t>
      </w:r>
      <w:proofErr w:type="gramEnd"/>
      <w:r>
        <w:rPr>
          <w:rFonts w:ascii="微软雅黑" w:eastAsia="微软雅黑" w:hAnsi="微软雅黑" w:hint="eastAsia"/>
          <w:color w:val="4B4B4B"/>
        </w:rPr>
        <w:t>业务类别单独管理，根据需要开展工作。从科研经费中列支的国际合作与交流费用不纳入“三公”经费统计范围，不受零增长要求限制。（单位主管部门、财政部负责落实）</w:t>
      </w:r>
    </w:p>
    <w:p w14:paraId="59222B8B"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五、创新财政科研经费投入与支持方式</w:t>
      </w:r>
    </w:p>
    <w:p w14:paraId="0EED676A"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（十八）拓展财政科研经费投入渠道。发挥财政经费的杠杆效应和导向作用，引导企业参与，发挥金融资金作用，吸引民间资本支持科技创新创业。优化科技创新</w:t>
      </w:r>
      <w:proofErr w:type="gramStart"/>
      <w:r>
        <w:rPr>
          <w:rFonts w:ascii="微软雅黑" w:eastAsia="微软雅黑" w:hAnsi="微软雅黑" w:hint="eastAsia"/>
          <w:color w:val="4B4B4B"/>
        </w:rPr>
        <w:t>类引导</w:t>
      </w:r>
      <w:proofErr w:type="gramEnd"/>
      <w:r>
        <w:rPr>
          <w:rFonts w:ascii="微软雅黑" w:eastAsia="微软雅黑" w:hAnsi="微软雅黑" w:hint="eastAsia"/>
          <w:color w:val="4B4B4B"/>
        </w:rPr>
        <w:t>基金使用，推动更多具有重大价值的科技成果转化应用。拓宽基础研究经费投入渠道，促进基础研究与需求导向良性互动。（财政部、科技部、人民银行、银保监会、证监会等负责落实）</w:t>
      </w:r>
    </w:p>
    <w:p w14:paraId="44A500E9"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十九）开展顶尖领衔科学家支持方式试点。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w:t>
      </w:r>
      <w:r>
        <w:rPr>
          <w:rFonts w:ascii="微软雅黑" w:eastAsia="微软雅黑" w:hAnsi="微软雅黑" w:hint="eastAsia"/>
          <w:color w:val="4B4B4B"/>
        </w:rPr>
        <w:lastRenderedPageBreak/>
        <w:t>效评价，形成可复制可推广的改革经验。（项目管理部门、项目承担单位负责落实）</w:t>
      </w:r>
    </w:p>
    <w:p w14:paraId="0920B55A"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十）支持新型研发机构实行“预算+负面清单”管理模式。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科技部、财政部负责指导）</w:t>
      </w:r>
    </w:p>
    <w:p w14:paraId="46D9F4D8"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六、改进科研绩效管理和监督检查</w:t>
      </w:r>
    </w:p>
    <w:p w14:paraId="3292D052"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十一）健全科研绩效管理机制。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项目管理部门、项目承担单位负责落实）</w:t>
      </w:r>
    </w:p>
    <w:p w14:paraId="454EA910"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十二）强化科研项目经费监督检查。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w:t>
      </w:r>
      <w:r>
        <w:rPr>
          <w:rFonts w:ascii="微软雅黑" w:eastAsia="微软雅黑" w:hAnsi="微软雅黑" w:hint="eastAsia"/>
          <w:color w:val="4B4B4B"/>
        </w:rPr>
        <w:lastRenderedPageBreak/>
        <w:t>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w:t>
      </w:r>
      <w:proofErr w:type="gramStart"/>
      <w:r>
        <w:rPr>
          <w:rFonts w:ascii="微软雅黑" w:eastAsia="微软雅黑" w:hAnsi="微软雅黑" w:hint="eastAsia"/>
          <w:color w:val="4B4B4B"/>
        </w:rPr>
        <w:t>免予问</w:t>
      </w:r>
      <w:proofErr w:type="gramEnd"/>
      <w:r>
        <w:rPr>
          <w:rFonts w:ascii="微软雅黑" w:eastAsia="微软雅黑" w:hAnsi="微软雅黑" w:hint="eastAsia"/>
          <w:color w:val="4B4B4B"/>
        </w:rPr>
        <w:t>责。（审计署、财政部、项目管理部门、单位主管部门负责落实）</w:t>
      </w:r>
    </w:p>
    <w:p w14:paraId="75B8AB64"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七、组织实施</w:t>
      </w:r>
    </w:p>
    <w:p w14:paraId="489420B3"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十三）及时清理修改相关规定。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有关部门、项目承担单位负责落实）</w:t>
      </w:r>
    </w:p>
    <w:p w14:paraId="75B75927"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十四）加大政策宣传培训力度。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科技部、财政部会同有关部门负责落实）</w:t>
      </w:r>
    </w:p>
    <w:p w14:paraId="15E41D1D"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二十五）强化政策落实督促指导。有关部门要加快职能转变，提高服务意识，加强跟踪指导，适时组织开展对项目承担单位科研经费管理政策落实情况的检查，及时发现并协调解决有关问题，推动改革落地见效，国务院办公厅</w:t>
      </w:r>
      <w:r>
        <w:rPr>
          <w:rFonts w:ascii="微软雅黑" w:eastAsia="微软雅黑" w:hAnsi="微软雅黑" w:hint="eastAsia"/>
          <w:color w:val="4B4B4B"/>
        </w:rPr>
        <w:lastRenderedPageBreak/>
        <w:t>要加强督查。要适时对有关试点政策举措进行总结评估，及时总结推广行之有效的经验和做法。（财政部、科技部会同有关部门负责落实）</w:t>
      </w:r>
    </w:p>
    <w:p w14:paraId="6B3DA365"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财政部、中央级社科类科研项目主管部门要结合社会科学研究的规律和特点，参照本意</w:t>
      </w:r>
      <w:proofErr w:type="gramStart"/>
      <w:r>
        <w:rPr>
          <w:rFonts w:ascii="微软雅黑" w:eastAsia="微软雅黑" w:hAnsi="微软雅黑" w:hint="eastAsia"/>
          <w:color w:val="4B4B4B"/>
        </w:rPr>
        <w:t>见尽快</w:t>
      </w:r>
      <w:proofErr w:type="gramEnd"/>
      <w:r>
        <w:rPr>
          <w:rFonts w:ascii="微软雅黑" w:eastAsia="微软雅黑" w:hAnsi="微软雅黑" w:hint="eastAsia"/>
          <w:color w:val="4B4B4B"/>
        </w:rPr>
        <w:t>修订中央级社科类科研项目资金管理办法。</w:t>
      </w:r>
    </w:p>
    <w:p w14:paraId="36B24CEF" w14:textId="77777777" w:rsidR="00326C86" w:rsidRDefault="00326C86" w:rsidP="00326C86">
      <w:pPr>
        <w:pStyle w:val="a3"/>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各地区要参照本意见精神，结合实际，改革完善本地区财政科研经费管理。</w:t>
      </w:r>
    </w:p>
    <w:p w14:paraId="713E2E62" w14:textId="77777777" w:rsidR="00326C86" w:rsidRDefault="00326C86" w:rsidP="00326C86">
      <w:pPr>
        <w:pStyle w:val="a3"/>
        <w:spacing w:before="0" w:beforeAutospacing="0" w:after="0" w:afterAutospacing="0"/>
        <w:jc w:val="right"/>
        <w:rPr>
          <w:rFonts w:ascii="微软雅黑" w:eastAsia="微软雅黑" w:hAnsi="微软雅黑" w:hint="eastAsia"/>
          <w:color w:val="4B4B4B"/>
        </w:rPr>
      </w:pPr>
      <w:r>
        <w:rPr>
          <w:rFonts w:ascii="微软雅黑" w:eastAsia="微软雅黑" w:hAnsi="微软雅黑" w:hint="eastAsia"/>
          <w:color w:val="4B4B4B"/>
        </w:rPr>
        <w:t>国务院办公厅</w:t>
      </w:r>
    </w:p>
    <w:p w14:paraId="79866354" w14:textId="77777777" w:rsidR="00326C86" w:rsidRDefault="00326C86" w:rsidP="00326C86">
      <w:pPr>
        <w:pStyle w:val="a3"/>
        <w:spacing w:before="0" w:beforeAutospacing="0" w:after="0" w:afterAutospacing="0"/>
        <w:jc w:val="right"/>
        <w:rPr>
          <w:rFonts w:ascii="微软雅黑" w:eastAsia="微软雅黑" w:hAnsi="微软雅黑" w:hint="eastAsia"/>
          <w:color w:val="4B4B4B"/>
        </w:rPr>
      </w:pPr>
      <w:r>
        <w:rPr>
          <w:rFonts w:ascii="微软雅黑" w:eastAsia="微软雅黑" w:hAnsi="微软雅黑" w:hint="eastAsia"/>
          <w:color w:val="4B4B4B"/>
        </w:rPr>
        <w:t>2021年8月5日</w:t>
      </w:r>
    </w:p>
    <w:p w14:paraId="73459DC0" w14:textId="77777777" w:rsidR="007133B5" w:rsidRPr="00326C86" w:rsidRDefault="007133B5" w:rsidP="00326C86"/>
    <w:sectPr w:rsidR="007133B5" w:rsidRPr="00326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86"/>
    <w:rsid w:val="00326C86"/>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6F5B"/>
  <w15:chartTrackingRefBased/>
  <w15:docId w15:val="{66D61BF5-2567-4223-B2A8-E651EA6C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6C8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C86"/>
    <w:rPr>
      <w:rFonts w:ascii="宋体" w:eastAsia="宋体" w:hAnsi="宋体" w:cs="宋体"/>
      <w:b/>
      <w:bCs/>
      <w:kern w:val="36"/>
      <w:sz w:val="48"/>
      <w:szCs w:val="48"/>
    </w:rPr>
  </w:style>
  <w:style w:type="paragraph" w:styleId="a3">
    <w:name w:val="Normal (Web)"/>
    <w:basedOn w:val="a"/>
    <w:uiPriority w:val="99"/>
    <w:semiHidden/>
    <w:unhideWhenUsed/>
    <w:rsid w:val="00326C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9226">
      <w:bodyDiv w:val="1"/>
      <w:marLeft w:val="0"/>
      <w:marRight w:val="0"/>
      <w:marTop w:val="0"/>
      <w:marBottom w:val="0"/>
      <w:divBdr>
        <w:top w:val="none" w:sz="0" w:space="0" w:color="auto"/>
        <w:left w:val="none" w:sz="0" w:space="0" w:color="auto"/>
        <w:bottom w:val="none" w:sz="0" w:space="0" w:color="auto"/>
        <w:right w:val="none" w:sz="0" w:space="0" w:color="auto"/>
      </w:divBdr>
      <w:divsChild>
        <w:div w:id="1564831744">
          <w:marLeft w:val="0"/>
          <w:marRight w:val="0"/>
          <w:marTop w:val="240"/>
          <w:marBottom w:val="0"/>
          <w:divBdr>
            <w:top w:val="none" w:sz="0" w:space="0" w:color="auto"/>
            <w:left w:val="none" w:sz="0" w:space="0" w:color="auto"/>
            <w:bottom w:val="none" w:sz="0" w:space="0" w:color="auto"/>
            <w:right w:val="none" w:sz="0" w:space="0" w:color="auto"/>
          </w:divBdr>
        </w:div>
      </w:divsChild>
    </w:div>
    <w:div w:id="1931306758">
      <w:bodyDiv w:val="1"/>
      <w:marLeft w:val="0"/>
      <w:marRight w:val="0"/>
      <w:marTop w:val="0"/>
      <w:marBottom w:val="0"/>
      <w:divBdr>
        <w:top w:val="none" w:sz="0" w:space="0" w:color="auto"/>
        <w:left w:val="none" w:sz="0" w:space="0" w:color="auto"/>
        <w:bottom w:val="none" w:sz="0" w:space="0" w:color="auto"/>
        <w:right w:val="none" w:sz="0" w:space="0" w:color="auto"/>
      </w:divBdr>
      <w:divsChild>
        <w:div w:id="850727210">
          <w:marLeft w:val="0"/>
          <w:marRight w:val="0"/>
          <w:marTop w:val="240"/>
          <w:marBottom w:val="0"/>
          <w:divBdr>
            <w:top w:val="none" w:sz="0" w:space="0" w:color="auto"/>
            <w:left w:val="none" w:sz="0" w:space="0" w:color="auto"/>
            <w:bottom w:val="none" w:sz="0" w:space="0" w:color="auto"/>
            <w:right w:val="none" w:sz="0" w:space="0" w:color="auto"/>
          </w:divBdr>
        </w:div>
      </w:divsChild>
    </w:div>
    <w:div w:id="2010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2022-03-04T03:02:00Z</dcterms:created>
  <dcterms:modified xsi:type="dcterms:W3CDTF">2022-03-04T03:03:00Z</dcterms:modified>
</cp:coreProperties>
</file>